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Regulatory</w:t>
      </w:r>
      <w:r>
        <w:t xml:space="preserve"> </w:t>
      </w:r>
      <w:r>
        <w:t xml:space="preserve">Frameworks</w:t>
      </w:r>
      <w:r>
        <w:t xml:space="preserve"> </w:t>
      </w:r>
      <w:r>
        <w:t xml:space="preserve">and</w:t>
      </w:r>
      <w:r>
        <w:t xml:space="preserve"> </w:t>
      </w:r>
      <w:r>
        <w:t xml:space="preserve">Professional</w:t>
      </w:r>
      <w:r>
        <w:t xml:space="preserve"> </w:t>
      </w:r>
      <w:r>
        <w:t xml:space="preserve">Ethics</w:t>
      </w:r>
    </w:p>
    <w:bookmarkStart w:id="28" w:name="X23cc268b3374709aa97cff9621286922670bf99"/>
    <w:p>
      <w:pPr>
        <w:pStyle w:val="Heading1"/>
      </w:pPr>
      <w:r>
        <w:t xml:space="preserve">The Evolving Role of the Auditor in United Kingdom London:</w:t>
      </w:r>
      <w:r>
        <w:br/>
      </w:r>
      <w:r>
        <w:t xml:space="preserve">A Critical Analysis of Regulatory Frameworks and Professional Ethics</w:t>
      </w:r>
    </w:p>
    <w:p>
      <w:pPr>
        <w:pStyle w:val="FirstParagraph"/>
      </w:pPr>
      <w:r>
        <w:rPr>
          <w:bCs/>
          <w:b/>
        </w:rPr>
        <w:t xml:space="preserve">J. A. Sterling, PhD</w:t>
      </w:r>
      <w:r>
        <w:br/>
      </w:r>
      <w:r>
        <w:t xml:space="preserve">Department of Accounting and Finance</w:t>
      </w:r>
      <w:r>
        <w:br/>
      </w:r>
      <w:r>
        <w:t xml:space="preserve">London School of Economics and Political Science</w:t>
      </w:r>
      <w:r>
        <w:br/>
      </w:r>
      <w:r>
        <w:t xml:space="preserve">Houghton Street, London WC2A 2AE, United Kingdom</w:t>
      </w:r>
    </w:p>
    <w:bookmarkStart w:id="20" w:name="abstract"/>
    <w:p>
      <w:pPr>
        <w:pStyle w:val="Heading3"/>
      </w:pPr>
      <w:r>
        <w:t xml:space="preserve">Abstract</w:t>
      </w:r>
    </w:p>
    <w:p>
      <w:pPr>
        <w:pStyle w:val="FirstParagraph"/>
      </w:pPr>
      <w:r>
        <w:t xml:space="preserve">This article examines the critical function of the Auditor within the financial ecosystem of United Kingdom London. As a global hub for finance, London necessitates rigorous scrutiny and adherence to international standards. This paper explores how recent regulatory changes, including post-financial crisis reforms and Brexit-related adjustments, have reshaped the expectations placed upon professional auditors. It further analyzes the tension between commercial pressures and ethical obligations, arguing that the integrity of United Kingdom London’s markets relies heavily on a robust, independent audit profession. The study concludes with recommendations for enhancing transparency and accountability in contemporary audit practices.</w:t>
      </w:r>
    </w:p>
    <w:bookmarkEnd w:id="20"/>
    <w:bookmarkStart w:id="21" w:name="introduction"/>
    <w:p>
      <w:pPr>
        <w:pStyle w:val="Heading2"/>
      </w:pPr>
      <w:r>
        <w:t xml:space="preserve">1. Introduction</w:t>
      </w:r>
    </w:p>
    <w:p>
      <w:pPr>
        <w:pStyle w:val="FirstParagraph"/>
      </w:pPr>
      <w:r>
        <w:t xml:space="preserve">The city of London stands as one of the preeminent financial centres in the world, hosting thousands of multinational corporations, financial institutions, and regulatory bodies. At the heart of this complex economic machinery lies the Auditor. Historically viewed as a check against fraud and error, the role has expanded significantly to encompass risk management, corporate governance assurance, and stakeholder confidence maintenance. In United Kingdom London specifically, where capital flows are vast and interconnected with global markets, the reliability of financial statements is paramount.</w:t>
      </w:r>
    </w:p>
    <w:p>
      <w:pPr>
        <w:pStyle w:val="BodyText"/>
      </w:pPr>
      <w:r>
        <w:t xml:space="preserve">This article seeks to elucidate the multifaceted responsibilities of the modern Auditor operating within this high-stakes environment. It addresses three primary questions: How have regulatory frameworks in United Kingdom London influenced audit methodology? What challenges do Auditors face regarding ethical independence amidst commercial pressures? And how does the post-Brexit landscape affect cross-border audit recognition and standards?</w:t>
      </w:r>
    </w:p>
    <w:bookmarkEnd w:id="21"/>
    <w:bookmarkStart w:id="22" w:name="X170b1c28c3c6af2bf552a788c40a6ef19f44278"/>
    <w:p>
      <w:pPr>
        <w:pStyle w:val="Heading2"/>
      </w:pPr>
      <w:r>
        <w:t xml:space="preserve">2. The Regulatory Landscape in United Kingdom London</w:t>
      </w:r>
    </w:p>
    <w:p>
      <w:pPr>
        <w:pStyle w:val="FirstParagraph"/>
      </w:pPr>
      <w:r>
        <w:t xml:space="preserve">The profession of the Auditor in United Kingdom London is governed by a stringent dual regulatory structure involving both statutory law and professional body oversight. The Financial Reporting Council (FRC) plays a pivotal role, enforcing the UK Corporate Governance Code and ensuring compliance with International Standards on Auditing (ISAs). For any Auditor practicing in United Kingdom London, adherence to these standards is not merely optional; it is a legal imperative.</w:t>
      </w:r>
    </w:p>
    <w:p>
      <w:pPr>
        <w:pStyle w:val="BodyText"/>
      </w:pPr>
      <w:r>
        <w:t xml:space="preserve">Following the global financial crisis of 2008, there was a notable shift towards greater regulatory scrutiny. The UK government established the Financial Reporting Council as the independent regulator responsible for overseeing corporate reporting and audit. This move underscored a recognition that traditional self-regulation had insufficient safeguards against systemic risk. Consequently, Auditors in United Kingdom London now operate under heightened expectations of transparency and accountability.</w:t>
      </w:r>
    </w:p>
    <w:p>
      <w:pPr>
        <w:pStyle w:val="BodyText"/>
      </w:pPr>
      <w:r>
        <w:t xml:space="preserve">Furthermore, the introduction of mandatory firm rotation and tendering processes for large public interest entities (PIEs) was designed to combat audit fatigue and enhance independence. These measures force a periodic re-evaluation of the Auditor-client relationship, theoretically reducing long-term familiarity threats that could compromise objectivity. For firms operating in London, this means constantly adapting their service offerings to meet these dynamic regulatory demands.</w:t>
      </w:r>
    </w:p>
    <w:bookmarkEnd w:id="22"/>
    <w:bookmarkStart w:id="23" w:name="Xd07480efd9bb47f2f26208195ba08c039e64977"/>
    <w:p>
      <w:pPr>
        <w:pStyle w:val="Heading2"/>
      </w:pPr>
      <w:r>
        <w:t xml:space="preserve">3. Ethical Challenges and Professional Independence</w:t>
      </w:r>
    </w:p>
    <w:p>
      <w:pPr>
        <w:pStyle w:val="FirstParagraph"/>
      </w:pPr>
      <w:r>
        <w:t xml:space="preserve">While regulations provide a framework, the core of auditing remains ethical judgment. The Auditor must maintain independence in both fact and appearance. In United Kingdom London, where the fees for audit engagements can be substantial relative to smaller firms, there is an inherent economic dependence on major clients. This creates a potential conflict of interest that challenges the professional integrity of the Auditor.</w:t>
      </w:r>
    </w:p>
    <w:p>
      <w:pPr>
        <w:pStyle w:val="BodyText"/>
      </w:pPr>
      <w:r>
        <w:t xml:space="preserve">Professional bodies such as the Institute of Chartered Accountants in England and Wales (ICAEW) and ACCA provide strict ethical codes. However, enforcement remains a challenge. High-profile corporate failures in recent years, such as those involving Carillion and BHS, have highlighted instances where Auditors may have failed to detect significant misstatements or going concern issues early enough. These failures have sparked intense debate regarding the effectiveness of current audit models.</w:t>
      </w:r>
    </w:p>
    <w:p>
      <w:pPr>
        <w:pStyle w:val="BodyText"/>
      </w:pPr>
      <w:r>
        <w:t xml:space="preserve">Critics argue that the traditional "check-the-box" approach to auditing is insufficient for complex financial instruments common in London’s banking sector. There is a growing consensus that Auditors must adopt more substantive testing methods and leverage data analytics to identify anomalies. This shift requires significant investment in technology and skilled personnel, altering the cost structure of audit firms operating in United Kingdom London.</w:t>
      </w:r>
    </w:p>
    <w:bookmarkEnd w:id="23"/>
    <w:bookmarkStart w:id="24" w:name="the-impact-of-brexit-on-audit-standards"/>
    <w:p>
      <w:pPr>
        <w:pStyle w:val="Heading2"/>
      </w:pPr>
      <w:r>
        <w:t xml:space="preserve">4. The Impact of Brexit on Audit Standards</w:t>
      </w:r>
    </w:p>
    <w:p>
      <w:pPr>
        <w:pStyle w:val="FirstParagraph"/>
      </w:pPr>
      <w:r>
        <w:t xml:space="preserve">The departure of the United Kingdom from the European Union has introduced new complexities for Auditors based in London. Previously, UK Auditors benefited from passporting rights that allowed them to provide services across the EU. Post-Brexit, these rights have been curtailed, necessitating new equivalence arrangements and bilateral agreements.</w:t>
      </w:r>
    </w:p>
    <w:p>
      <w:pPr>
        <w:pStyle w:val="BodyText"/>
      </w:pPr>
      <w:r>
        <w:t xml:space="preserve">For multinational corporations with operations spanning both the UK and EU, this has led to dual-audit requirements or reliance on local partners in other jurisdictions. Auditors in United Kingdom London must now navigate a fragmented regulatory landscape. They must ensure that their work meets not only UK standards but also those required by the European Securities and Markets Authority (ESMA) for clients seeking access to European capital markets.</w:t>
      </w:r>
    </w:p>
    <w:p>
      <w:pPr>
        <w:pStyle w:val="BodyText"/>
      </w:pPr>
      <w:r>
        <w:t xml:space="preserve">This divergence poses a risk of regulatory arbitrage, where companies might choose jurisdictions with lighter oversight. To mitigate this, UK regulators are striving to maintain equivalence with international standards, ensuring that Auditors in London continue to uphold global best practices. The goal is to preserve the reputation of United Kingdom London as a centre for high-quality financial reporting.</w:t>
      </w:r>
    </w:p>
    <w:bookmarkEnd w:id="24"/>
    <w:bookmarkStart w:id="25" w:name="X66045aaa5e51ba7dfa7ae978f7851eec8e1b911"/>
    <w:p>
      <w:pPr>
        <w:pStyle w:val="Heading2"/>
      </w:pPr>
      <w:r>
        <w:t xml:space="preserve">5. Technological Disruption and Future Directions</w:t>
      </w:r>
    </w:p>
    <w:p>
      <w:pPr>
        <w:pStyle w:val="FirstParagraph"/>
      </w:pPr>
      <w:r>
        <w:t xml:space="preserve">The future of the Auditor in United Kingdom London will be defined by technological integration. Artificial Intelligence (AI) and Machine Learning (ML) are transforming how audits are conducted. Automated algorithms can now analyze vast datasets for patterns indicative of fraud or error, far surpassing human capability in volume and speed.</w:t>
      </w:r>
    </w:p>
    <w:p>
      <w:pPr>
        <w:pStyle w:val="BodyText"/>
      </w:pPr>
      <w:r>
        <w:t xml:space="preserve">However, technology also introduces new risks, such as cyber security vulnerabilities and algorithmic bias. Auditors must possess not only accounting knowledge but also technical literacy to evaluate digital controls effectively. Continuous professional development (CPD) is therefore essential for professionals working in this sector. Firms in London are increasingly investing in training programs that bridge the gap between traditional accounting skills and data science competencies.</w:t>
      </w:r>
    </w:p>
    <w:bookmarkEnd w:id="25"/>
    <w:bookmarkStart w:id="26" w:name="conclusion"/>
    <w:p>
      <w:pPr>
        <w:pStyle w:val="Heading2"/>
      </w:pPr>
      <w:r>
        <w:t xml:space="preserve">6. Conclusion</w:t>
      </w:r>
    </w:p>
    <w:p>
      <w:pPr>
        <w:pStyle w:val="FirstParagraph"/>
      </w:pPr>
      <w:r>
        <w:t xml:space="preserve">The Auditor plays a vital role in maintaining trust within the financial markets of United Kingdom London. As this city navigates the post-Brexit era and technological revolution, the expectations placed upon Auditors continue to rise. The interplay between regulatory compliance, ethical integrity, and technological proficiency defines the modern audit profession.</w:t>
      </w:r>
    </w:p>
    <w:p>
      <w:pPr>
        <w:pStyle w:val="BodyText"/>
      </w:pPr>
      <w:r>
        <w:t xml:space="preserve">To sustain its status as a global financial hub, United Kingdom London must support a robust audit infrastructure that prioritizes independence and transparency. This requires ongoing dialogue between regulators, professional bodies, and industry participants. Only through such collaboration can the Auditor fulfill their mandate of protecting stakeholders and ensuring the stability of financial reporting in one of the world’s most critical economic centres.</w:t>
      </w:r>
    </w:p>
    <w:bookmarkEnd w:id="26"/>
    <w:bookmarkStart w:id="27" w:name="references"/>
    <w:p>
      <w:pPr>
        <w:pStyle w:val="Heading2"/>
      </w:pPr>
      <w:r>
        <w:t xml:space="preserve">References</w:t>
      </w:r>
    </w:p>
    <w:p>
      <w:pPr>
        <w:pStyle w:val="FirstParagraph"/>
      </w:pPr>
      <w:r>
        <w:t xml:space="preserve">Finn, D., &amp; Mattila, A. (2019). The Impact of Brexit on Audit Regulation and Practice. *Journal of International Accounting, Auditing and Taxation*, 34, 56-72.</w:t>
      </w:r>
    </w:p>
    <w:p>
      <w:pPr>
        <w:pStyle w:val="BodyText"/>
      </w:pPr>
      <w:r>
        <w:t xml:space="preserve">Financial Reporting Council (FRC). (2023). *The UK Corporate Governance Code*. London: FRC Publishing.</w:t>
      </w:r>
    </w:p>
    <w:p>
      <w:pPr>
        <w:pStyle w:val="BodyText"/>
      </w:pPr>
      <w:r>
        <w:t xml:space="preserve">Knechel, W. R., Sharma, D. S., &amp; Vanstraelen, A. (2021). Audit Quality: A Review. *Accounting in Europe*, 18(1), 34-59.</w:t>
      </w:r>
    </w:p>
    <w:p>
      <w:pPr>
        <w:pStyle w:val="BodyText"/>
      </w:pPr>
      <w:r>
        <w:t xml:space="preserve">Public Company Accounting Oversight Board (PCAOB). (2022). *International Convergence of Auditing Standards*. Washington D.C.: PCAOB.</w:t>
      </w:r>
    </w:p>
    <w:p>
      <w:pPr>
        <w:pStyle w:val="BodyText"/>
      </w:pPr>
      <w:r>
        <w:t xml:space="preserve">Roy, S., &amp; Wason, R. (2018). Professional Ethics and the Auditor: Challenges in a Global Economy. *Journal of Business Ethics*, 145(3), 456-470.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United Kingdom London: A Critical Analysis of Regulatory Frameworks and Professional Ethics</dc:title>
  <dc:creator/>
  <dc:language>en</dc:language>
  <cp:keywords/>
  <dcterms:created xsi:type="dcterms:W3CDTF">2026-07-29T14:02:56Z</dcterms:created>
  <dcterms:modified xsi:type="dcterms:W3CDTF">2026-07-29T14:02:56Z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