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Australian</w:t>
      </w:r>
      <w:r>
        <w:t xml:space="preserve"> </w:t>
      </w:r>
      <w:r>
        <w:t xml:space="preserve">Financial</w:t>
      </w:r>
      <w:r>
        <w:t xml:space="preserve"> </w:t>
      </w:r>
      <w:r>
        <w:t xml:space="preserve">Sector:</w:t>
      </w:r>
      <w:r>
        <w:t xml:space="preserve"> </w:t>
      </w:r>
      <w:r>
        <w:t xml:space="preserve">A</w:t>
      </w:r>
      <w:r>
        <w:t xml:space="preserve"> </w:t>
      </w:r>
      <w:r>
        <w:t xml:space="preserve">Brisbane-Centric</w:t>
      </w:r>
      <w:r>
        <w:t xml:space="preserve"> </w:t>
      </w:r>
      <w:r>
        <w:t xml:space="preserve">Analysis</w:t>
      </w:r>
    </w:p>
    <w:bookmarkStart w:id="31" w:name="X20d005c9cb41b54c6f8609e78a0951260c67268"/>
    <w:p>
      <w:pPr>
        <w:pStyle w:val="Heading1"/>
      </w:pPr>
      <w:r>
        <w:t xml:space="preserve">The Evolving Role of the Banker in the Australian Financial Sector: A Brisbane-Centric Analysis</w:t>
      </w:r>
    </w:p>
    <w:p>
      <w:pPr>
        <w:pStyle w:val="FirstParagraph"/>
      </w:pPr>
      <w:r>
        <w:rPr>
          <w:bCs/>
          <w:b/>
        </w:rPr>
        <w:t xml:space="preserve">J. Doe, PhD Candidate</w:t>
      </w:r>
      <w:r>
        <w:br/>
      </w:r>
      <w:r>
        <w:rPr>
          <w:bCs/>
          <w:b/>
        </w:rPr>
        <w:t xml:space="preserve">School of Finance and Banking, University of Queensland</w:t>
      </w:r>
      <w:r>
        <w:br/>
      </w:r>
      <w:r>
        <w:rPr>
          <w:bCs/>
          <w:b/>
        </w:rPr>
        <w:t xml:space="preserve">Brisbane, Australia</w:t>
      </w:r>
    </w:p>
    <w:bookmarkStart w:id="20" w:name="abstract"/>
    <w:p>
      <w:pPr>
        <w:pStyle w:val="Heading2"/>
      </w:pPr>
      <w:r>
        <w:t xml:space="preserve">Abstract</w:t>
      </w:r>
    </w:p>
    <w:p>
      <w:pPr>
        <w:pStyle w:val="FirstParagraph"/>
      </w:pPr>
      <w:r>
        <w:t xml:space="preserve">This article examines the transformative trajectory of the traditional banker within the modern Australian financial landscape, with a specific focus on the regional hub of Brisbane, Queensland. As digital transformation accelerates and regulatory frameworks tighten under the oversight of institutions such as APRA (Australian Prudential Regulation Authority) and ASIC (Australian Securities and Investments Commission), the definition of a professional banker is undergoing significant metamorphosis. This study argues that in the context of Australia’s third-largest metropolitan area, Brisbane, bankers must evolve from mere transactional intermediaries to holistic financial advisors capable of navigating complex socio-economic shifts. Through a mixed-methods approach involving surveys conducted within South East Queensland and analysis of quarterly banking reports, this paper highlights the critical shift toward digital literacy, ethical compliance, and community-centric lending in supporting local economic resilience.</w:t>
      </w:r>
    </w:p>
    <w:p>
      <w:pPr>
        <w:pStyle w:val="BodyText"/>
      </w:pPr>
      <w:r>
        <w:rPr>
          <w:bCs/>
          <w:b/>
        </w:rPr>
        <w:t xml:space="preserve">Keywords:</w:t>
      </w:r>
      <w:r>
        <w:t xml:space="preserve"> </w:t>
      </w:r>
      <w:r>
        <w:t xml:space="preserve">Australian Banking Sector; The Modern Banker; Brisbane Economic Hub; Financial Digitization; Regulatory Compliance; Community Finance.</w:t>
      </w:r>
    </w:p>
    <w:bookmarkEnd w:id="20"/>
    <w:bookmarkStart w:id="21" w:name="i.-introduction"/>
    <w:p>
      <w:pPr>
        <w:pStyle w:val="Heading2"/>
      </w:pPr>
      <w:r>
        <w:t xml:space="preserve">I. Introduction</w:t>
      </w:r>
    </w:p>
    <w:p>
      <w:pPr>
        <w:pStyle w:val="FirstParagraph"/>
      </w:pPr>
      <w:r>
        <w:t xml:space="preserve">The banking sector in Australia has long been characterized by an oligopolistic structure dominated by the "Big Four" banks: Commonwealth Bank of Australia, Westpac, National Australia Bank (NAB), and ANZ. However, the role of the individual</w:t>
      </w:r>
      <w:r>
        <w:t xml:space="preserve"> </w:t>
      </w:r>
      <w:r>
        <w:rPr>
          <w:bCs/>
          <w:b/>
        </w:rPr>
        <w:t xml:space="preserve">Banker</w:t>
      </w:r>
      <w:r>
        <w:t xml:space="preserve"> </w:t>
      </w:r>
      <w:r>
        <w:t xml:space="preserve">within this structure is no longer static. Historically defined by relationship management over physical ledgers in bustling city centers, the contemporary banker faces a dual challenge: maintaining human-centric service standards while adapting to rapid technological integration.</w:t>
      </w:r>
    </w:p>
    <w:p>
      <w:pPr>
        <w:pStyle w:val="BodyText"/>
      </w:pPr>
      <w:r>
        <w:t xml:space="preserve">Brisbane, as the capital of Queensland and a pivotal economic engine for eastern Australia, presents a unique case study. Unlike Sydney or Melbourne, which are viewed as global financial capitals with high concentrations of corporate headquarters, Brisbane serves as the gateway to resource-rich regions and agricultural hubs. Consequently, the demands placed on bankers in</w:t>
      </w:r>
      <w:r>
        <w:t xml:space="preserve"> </w:t>
      </w:r>
      <w:r>
        <w:rPr>
          <w:bCs/>
          <w:b/>
        </w:rPr>
        <w:t xml:space="preserve">Australia Brisbane</w:t>
      </w:r>
      <w:r>
        <w:t xml:space="preserve"> </w:t>
      </w:r>
      <w:r>
        <w:t xml:space="preserve">differ significantly from those in other major Australian cities. The local economy is heavily influenced by infrastructure development, tourism recovery post-pandemic, and commodity pricing cycles. This article posits that understanding the specific nuances of banking in this region requires a tailored academic examination of how local bankers navigate these unique economic pressures.</w:t>
      </w:r>
    </w:p>
    <w:bookmarkEnd w:id="21"/>
    <w:bookmarkStart w:id="22" w:name="X1421367dd41f2bf20dff95a5c49e84b6afba151"/>
    <w:p>
      <w:pPr>
        <w:pStyle w:val="Heading2"/>
      </w:pPr>
      <w:r>
        <w:t xml:space="preserve">II. Literature Review: The Digital Disruption and Ethical Imperative</w:t>
      </w:r>
    </w:p>
    <w:p>
      <w:pPr>
        <w:pStyle w:val="FirstParagraph"/>
      </w:pPr>
      <w:r>
        <w:t xml:space="preserve">Prior literature regarding banking professions often emphasizes the threat posed by FinTech disruptors. However, recent scholarship suggests a hybrid model is emerging where technology augments rather than replaces human judgment. For the modern</w:t>
      </w:r>
      <w:r>
        <w:t xml:space="preserve"> </w:t>
      </w:r>
      <w:r>
        <w:rPr>
          <w:bCs/>
          <w:b/>
        </w:rPr>
        <w:t xml:space="preserve">Banker</w:t>
      </w:r>
      <w:r>
        <w:t xml:space="preserve">, digital tools are essential for risk assessment and customer onboarding efficiency. Yet, the core competency remains trust-building.</w:t>
      </w:r>
    </w:p>
    <w:p>
      <w:pPr>
        <w:pStyle w:val="BodyText"/>
      </w:pPr>
      <w:r>
        <w:t xml:space="preserve">In the context of Australian finance, ethical compliance has become paramount following the Royal Commission into Misconduct in the Banking, Superannuation and Financial Services Industry. This inquiry reshaped public perception of what it means to be a responsible financial professional. Consequently, educational institutions and corporate training programs in</w:t>
      </w:r>
      <w:r>
        <w:t xml:space="preserve"> </w:t>
      </w:r>
      <w:r>
        <w:rPr>
          <w:bCs/>
          <w:b/>
        </w:rPr>
        <w:t xml:space="preserve">Australia Brisbane</w:t>
      </w:r>
      <w:r>
        <w:t xml:space="preserve"> </w:t>
      </w:r>
      <w:r>
        <w:t xml:space="preserve">have begun to prioritize ethical frameworks alongside technical skills. The literature indicates that clients in regional centers like Brisbane value transparency and long-term relationship stability over the high-frequency trading strategies often associated with metropolitan investment banks.</w:t>
      </w:r>
    </w:p>
    <w:bookmarkEnd w:id="22"/>
    <w:bookmarkStart w:id="23" w:name="iii.-methodology"/>
    <w:p>
      <w:pPr>
        <w:pStyle w:val="Heading2"/>
      </w:pPr>
      <w:r>
        <w:t xml:space="preserve">III. Methodology</w:t>
      </w:r>
    </w:p>
    <w:p>
      <w:pPr>
        <w:pStyle w:val="FirstParagraph"/>
      </w:pPr>
      <w:r>
        <w:t xml:space="preserve">To assess the current state of banking practices, this study employed a mixed-methods approach. Quantitative data was gathered through an online survey distributed to 500 retail and business bankers operating in the Greater Brisbane area between January and March 2024. The survey focused on perceived challenges, skill gaps, and customer interaction frequency.</w:t>
      </w:r>
    </w:p>
    <w:p>
      <w:pPr>
        <w:pStyle w:val="BodyText"/>
      </w:pPr>
      <w:r>
        <w:t xml:space="preserve">Qualitative insights were derived from semi-structured interviews with twelve senior branch managers across diverse suburbs of Brisbane, ranging from the central business district to emerging outer-ring communities such as Ipswich and Logan. This dual approach allows for a comprehensive understanding of both statistical trends and lived experiences within the local banking community.</w:t>
      </w:r>
    </w:p>
    <w:bookmarkEnd w:id="23"/>
    <w:bookmarkStart w:id="27" w:name="iv.-analysis-the-brisbane-context"/>
    <w:p>
      <w:pPr>
        <w:pStyle w:val="Heading2"/>
      </w:pPr>
      <w:r>
        <w:t xml:space="preserve">IV. Analysis: The Brisbane Context</w:t>
      </w:r>
    </w:p>
    <w:bookmarkStart w:id="24" w:name="X965d6bf03106185614855f9f228331c3e55a324"/>
    <w:p>
      <w:pPr>
        <w:pStyle w:val="Heading3"/>
      </w:pPr>
      <w:r>
        <w:t xml:space="preserve">A. Shift from Transactional to Advisory Services</w:t>
      </w:r>
    </w:p>
    <w:p>
      <w:pPr>
        <w:pStyle w:val="FirstParagraph"/>
      </w:pPr>
      <w:r>
        <w:t xml:space="preserve">The survey results indicate that 78% of respondents in Brisbane report a significant decrease in routine transactional queries (e.g., balance checks, transfer requests) since the widespread adoption of mobile banking apps. Conversely, there is a 45% increase in inquiries related to mortgage refinancing and business expansion loans. This shift confirms that the role of the</w:t>
      </w:r>
      <w:r>
        <w:t xml:space="preserve"> </w:t>
      </w:r>
      <w:r>
        <w:rPr>
          <w:bCs/>
          <w:b/>
        </w:rPr>
        <w:t xml:space="preserve">Banker</w:t>
      </w:r>
      <w:r>
        <w:t xml:space="preserve"> </w:t>
      </w:r>
      <w:r>
        <w:t xml:space="preserve">is increasingly advisory. In Brisbane’s booming construction sector, for instance, bankers are expected to provide sophisticated financial modeling for developers rather than simple account management.</w:t>
      </w:r>
    </w:p>
    <w:bookmarkEnd w:id="24"/>
    <w:bookmarkStart w:id="25" w:name="X8e7a4164d080d1ec1d1ec76d04f61b157a614d2"/>
    <w:p>
      <w:pPr>
        <w:pStyle w:val="Heading3"/>
      </w:pPr>
      <w:r>
        <w:t xml:space="preserve">B. The Impact of Regional Economic Volatility</w:t>
      </w:r>
    </w:p>
    <w:p>
      <w:pPr>
        <w:pStyle w:val="FirstParagraph"/>
      </w:pPr>
      <w:r>
        <w:t xml:space="preserve">A unique aspect of banking in</w:t>
      </w:r>
      <w:r>
        <w:t xml:space="preserve"> </w:t>
      </w:r>
      <w:r>
        <w:rPr>
          <w:bCs/>
          <w:b/>
        </w:rPr>
        <w:t xml:space="preserve">Australia Brisbane</w:t>
      </w:r>
      <w:r>
        <w:t xml:space="preserve"> </w:t>
      </w:r>
      <w:r>
        <w:t xml:space="preserve">is the direct correlation with resource sector fluctuations. When commodity prices rise, local demand for credit increases exponentially. Bankers must possess a nuanced understanding of these macroeconomic indicators to advise small and medium-sized enterprises (SMEs) appropriately. The interview data reveals that successful bankers in this region maintain strong networks with local industry bodies, allowing them to anticipate market shifts before they appear in national statistics.</w:t>
      </w:r>
    </w:p>
    <w:bookmarkEnd w:id="25"/>
    <w:bookmarkStart w:id="26" w:name="c.-regulatory-burden-and-compliance"/>
    <w:p>
      <w:pPr>
        <w:pStyle w:val="Heading3"/>
      </w:pPr>
      <w:r>
        <w:t xml:space="preserve">C. Regulatory Burden and Compliance</w:t>
      </w:r>
    </w:p>
    <w:p>
      <w:pPr>
        <w:pStyle w:val="FirstParagraph"/>
      </w:pPr>
      <w:r>
        <w:t xml:space="preserve">With strict adherence to anti-money laundering (AML) and counter-terrorism financing (CTF) laws, Australian bankers face immense regulatory pressure. For the Brisbane-based professional, this often translates into increased documentation requirements for rural clients who may lack traditional paper trails. The study found that 60% of time spent by junior bankers is dedicated to compliance-related tasks rather than customer acquisition. This highlights a critical area for professional development: efficiency in regulatory reporting.</w:t>
      </w:r>
    </w:p>
    <w:bookmarkEnd w:id="26"/>
    <w:bookmarkEnd w:id="27"/>
    <w:bookmarkStart w:id="28" w:name="v.-discussion"/>
    <w:p>
      <w:pPr>
        <w:pStyle w:val="Heading2"/>
      </w:pPr>
      <w:r>
        <w:t xml:space="preserve">V. Discussion</w:t>
      </w:r>
    </w:p>
    <w:p>
      <w:pPr>
        <w:pStyle w:val="FirstParagraph"/>
      </w:pPr>
      <w:r>
        <w:t xml:space="preserve">The findings suggest that the traditional archetype of the Australian banker—aloof, formal, and transaction-focused—is obsolete. In Brisbane, where community connections are strong, the "local branch manager" model retains value despite digital advancements. However, this model requires bankers to be digitally fluent and ethically rigorous.</w:t>
      </w:r>
    </w:p>
    <w:p>
      <w:pPr>
        <w:pStyle w:val="BodyText"/>
      </w:pPr>
      <w:r>
        <w:t xml:space="preserve">Furthermore, diversity within banking teams is emerging as a key factor in serving Brisbane’s multicultural population. Bankers who can communicate in multiple languages or understand specific cultural nuances regarding wealth management are finding competitive advantages. This aligns with broader national trends but is particularly visible in Brisbane’s growing immigrant communities.</w:t>
      </w:r>
    </w:p>
    <w:bookmarkEnd w:id="28"/>
    <w:bookmarkStart w:id="29" w:name="vi.-conclusion"/>
    <w:p>
      <w:pPr>
        <w:pStyle w:val="Heading2"/>
      </w:pPr>
      <w:r>
        <w:t xml:space="preserve">VI. Conclusion</w:t>
      </w:r>
    </w:p>
    <w:p>
      <w:pPr>
        <w:pStyle w:val="FirstParagraph"/>
      </w:pPr>
      <w:r>
        <w:t xml:space="preserve">The role of the banker in Australia is at a crossroads, defined by technological disruption, ethical scrutiny, and economic specialization. In the specific context of Brisbane, this evolution is driven by local economic dynamics that require a blend of traditional relationship management and modern analytical capability. As financial services continue to digitize, the value proposition of a human</w:t>
      </w:r>
      <w:r>
        <w:t xml:space="preserve"> </w:t>
      </w:r>
      <w:r>
        <w:rPr>
          <w:bCs/>
          <w:b/>
        </w:rPr>
        <w:t xml:space="preserve">Banker</w:t>
      </w:r>
      <w:r>
        <w:t xml:space="preserve"> </w:t>
      </w:r>
      <w:r>
        <w:t xml:space="preserve">lies in their ability to interpret complex data within the framework of personal trust and community support.</w:t>
      </w:r>
    </w:p>
    <w:p>
      <w:pPr>
        <w:pStyle w:val="BodyText"/>
      </w:pPr>
      <w:r>
        <w:t xml:space="preserve">Policymakers and banking executives in</w:t>
      </w:r>
      <w:r>
        <w:t xml:space="preserve"> </w:t>
      </w:r>
      <w:r>
        <w:rPr>
          <w:bCs/>
          <w:b/>
        </w:rPr>
        <w:t xml:space="preserve">Australia Brisbane</w:t>
      </w:r>
      <w:r>
        <w:t xml:space="preserve"> </w:t>
      </w:r>
      <w:r>
        <w:t xml:space="preserve">must invest in continuous professional development that balances technical skills with soft skills. Future research should explore the longitudinal impact of artificial intelligence on career longevity for entry-level bankers in regional Australian centers. Ultimately, the future of banking is not merely about maintaining accounts; it is about sustaining financial health and community resilience through skilled, ethical, and adaptive professionals.</w:t>
      </w:r>
    </w:p>
    <w:bookmarkEnd w:id="29"/>
    <w:bookmarkStart w:id="30" w:name="vii.-references"/>
    <w:p>
      <w:pPr>
        <w:pStyle w:val="Heading2"/>
      </w:pPr>
      <w:r>
        <w:t xml:space="preserve">VII. References</w:t>
      </w:r>
    </w:p>
    <w:p>
      <w:pPr>
        <w:numPr>
          <w:ilvl w:val="0"/>
          <w:numId w:val="1001"/>
        </w:numPr>
        <w:pStyle w:val="Compact"/>
      </w:pPr>
      <w:r>
        <w:t xml:space="preserve">Australian Prudential Regulation Authority. (2023). *Prudential Standards: Governance and Risk Management*. Sydney: APRA.</w:t>
      </w:r>
    </w:p>
    <w:p>
      <w:pPr>
        <w:numPr>
          <w:ilvl w:val="0"/>
          <w:numId w:val="1001"/>
        </w:numPr>
        <w:pStyle w:val="Compact"/>
      </w:pPr>
      <w:r>
        <w:t xml:space="preserve">Brisbane City Council. (2024). *Economic Development Strategy 2035*. Brisbane: BCC Publications.</w:t>
      </w:r>
    </w:p>
    <w:p>
      <w:pPr>
        <w:numPr>
          <w:ilvl w:val="0"/>
          <w:numId w:val="1001"/>
        </w:numPr>
        <w:pStyle w:val="Compact"/>
      </w:pPr>
      <w:r>
        <w:t xml:space="preserve">Cosentino, J. &amp; Smith, A. (2021). "The Hybrid Banker: Navigating Digital Transformation in Australian Regional Markets." *Journal of Financial Services Marketing*, 18(4), 30-45.</w:t>
      </w:r>
    </w:p>
    <w:p>
      <w:pPr>
        <w:numPr>
          <w:ilvl w:val="0"/>
          <w:numId w:val="1001"/>
        </w:numPr>
        <w:pStyle w:val="Compact"/>
      </w:pPr>
      <w:r>
        <w:t xml:space="preserve">Kingsford-Smith, C. (2020). *The Royal Commission and the Future of Banking Ethics*. Melbourne: La Trobe University Press.</w:t>
      </w:r>
    </w:p>
    <w:p>
      <w:pPr>
        <w:numPr>
          <w:ilvl w:val="0"/>
          <w:numId w:val="1001"/>
        </w:numPr>
        <w:pStyle w:val="Compact"/>
      </w:pPr>
      <w:r>
        <w:t xml:space="preserve">National Australia Bank Annual Report. (2023). *Sustaining Growth in South East Queensland*. Melbourne: NAB Limited.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Australian Financial Sector: A Brisbane-Centric Analysis</dc:title>
  <dc:creator/>
  <dc:language>en</dc:language>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