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Banking</w:t>
      </w:r>
      <w:r>
        <w:t xml:space="preserve"> </w:t>
      </w:r>
      <w:r>
        <w:t xml:space="preserve">Practices</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Modern</w:t>
      </w:r>
      <w:r>
        <w:t xml:space="preserve"> </w:t>
      </w:r>
      <w:r>
        <w:t xml:space="preserve">Bankers</w:t>
      </w:r>
      <w:r>
        <w:t xml:space="preserve"> </w:t>
      </w:r>
      <w:r>
        <w:t xml:space="preserve">in</w:t>
      </w:r>
      <w:r>
        <w:t xml:space="preserve"> </w:t>
      </w:r>
      <w:r>
        <w:t xml:space="preserve">Melbourne</w:t>
      </w:r>
    </w:p>
    <w:bookmarkStart w:id="28" w:name="Xc6a37b89d838f4476721edee1570bc0ec81f297"/>
    <w:p>
      <w:pPr>
        <w:pStyle w:val="Heading1"/>
      </w:pPr>
      <w:r>
        <w:t xml:space="preserve">The Evolution of Banking Practices in Australia: A Case Study of Modern Bankers in Melbourne</w:t>
      </w:r>
    </w:p>
    <w:p>
      <w:pPr>
        <w:pStyle w:val="FirstParagraph"/>
      </w:pPr>
      <w:r>
        <w:rPr>
          <w:iCs/>
          <w:i/>
          <w:bCs/>
          <w:b/>
        </w:rPr>
        <w:t xml:space="preserve">Australian Journal of Financial Studies and Urban Economics</w:t>
      </w:r>
      <w:r>
        <w:br/>
      </w:r>
      <w:r>
        <w:t xml:space="preserve">Volume 42, Issue 3, Winter 2023</w:t>
      </w:r>
      <w:r>
        <w:br/>
      </w:r>
    </w:p>
    <w:p>
      <w:pPr>
        <w:pStyle w:val="BodyText"/>
      </w:pPr>
      <w:r>
        <w:rPr>
          <w:bCs/>
          <w:b/>
        </w:rPr>
        <w:t xml:space="preserve">Dr. Eleanor Vance</w:t>
      </w:r>
      <w:r>
        <w:br/>
      </w:r>
      <w:r>
        <w:t xml:space="preserve">Department of Economic History, University of Melbourne</w:t>
      </w:r>
    </w:p>
    <w:bookmarkStart w:id="20" w:name="abstract"/>
    <w:p>
      <w:pPr>
        <w:pStyle w:val="Heading3"/>
      </w:pPr>
      <w:r>
        <w:t xml:space="preserve">Abstract</w:t>
      </w:r>
    </w:p>
    <w:p>
      <w:pPr>
        <w:pStyle w:val="FirstParagraph"/>
      </w:pPr>
      <w:r>
        <w:t xml:space="preserve">This article examines the contemporary role and evolution of the banker within the financial ecosystem of Australia, with a specific focus on the city of Melbourne. As a global center for finance and a hub for regional banking operations, Melbourne presents a unique case study for understanding how traditional banking roles are adapting to digital transformation, regulatory changes, and shifting consumer behaviors. This paper argues that while technological automation has streamlined transactional services, the core competency of the modern banker in Australia is increasingly defined by advisory capabilities and ethical stewardship. By analyzing historical trends and current market dynamics in Melbourne’s Central Business District (CBD), this study highlights the critical shift from product-centric to client-centric banking models.</w:t>
      </w:r>
    </w:p>
    <w:bookmarkEnd w:id="20"/>
    <w:bookmarkStart w:id="21" w:name="introduction"/>
    <w:p>
      <w:pPr>
        <w:pStyle w:val="Heading3"/>
      </w:pPr>
      <w:r>
        <w:t xml:space="preserve">1. Introduction</w:t>
      </w:r>
    </w:p>
    <w:p>
      <w:pPr>
        <w:pStyle w:val="FirstParagraph"/>
      </w:pPr>
      <w:r>
        <w:t xml:space="preserve">The term "banker" has undergone significant semantic and functional transformation over the past three decades. Historically, a banker was perceived primarily as a custodian of capital, responsible for the safekeeping of deposits and the prudent issuance of loans. However, in the contemporary landscape of Australia’s financial sector, particularly within its second-largest city and primary cultural hub, Melbourne, this definition is insufficient. This article explores how the identity and responsibilities of a banker have expanded to encompass complex advisory roles, risk management expertise, and digital literacy.</w:t>
      </w:r>
    </w:p>
    <w:p>
      <w:pPr>
        <w:pStyle w:val="BodyText"/>
      </w:pPr>
      <w:r>
        <w:t xml:space="preserve">Melbourne stands as a critical node in the Australian banking network. While Sydney remains the headquarters for most of the country's major financial institutions—the "Big Four" banks (Commonwealth Bank, Westpac, ANZ, and NAB)—Melbourne serves as a vital operational center for technology development, customer service hubs, and regional head offices. Consequently, observing bankers in Melbourne provides insight into how Australian banking practices are adapting to national regulatory frameworks while maintaining global competitiveness.</w:t>
      </w:r>
    </w:p>
    <w:bookmarkEnd w:id="21"/>
    <w:bookmarkStart w:id="22" w:name="X59e3108a7aec7c0cd2c4e8c03cdb44fb662ab18"/>
    <w:p>
      <w:pPr>
        <w:pStyle w:val="Heading3"/>
      </w:pPr>
      <w:r>
        <w:t xml:space="preserve">2. Historical Context of Banking in Australia</w:t>
      </w:r>
    </w:p>
    <w:p>
      <w:pPr>
        <w:pStyle w:val="FirstParagraph"/>
      </w:pPr>
      <w:r>
        <w:t xml:space="preserve">To understand the current state of the profession, one must appreciate its historical roots. The Australian banking system is characterized by a highly concentrated market structure, dominated by domestic banks rather than foreign entities. This consolidation has historically provided stability but also limited consumer choice compared to other global markets. In the mid-20th century, bankers in Melbourne operated within a rigid framework of branch-based interactions.</w:t>
      </w:r>
    </w:p>
    <w:p>
      <w:pPr>
        <w:pStyle w:val="BodyText"/>
      </w:pPr>
      <w:r>
        <w:t xml:space="preserve">The deregulation of the 1980s and 1990s marked a turning point. The introduction of foreign banks into Australia increased competition, forcing local bankers to innovate. In Melbourne, this period saw the rise of specialized commercial banking services catering to the city’s growing property market and creative industries. The role began to shift from mere transaction processing to relationship management, laying the groundwork for the modern advisor-banker hybrid.</w:t>
      </w:r>
    </w:p>
    <w:bookmarkEnd w:id="22"/>
    <w:bookmarkStart w:id="23" w:name="X4cfd02b219b0644ca06033b444b22e1e9163267"/>
    <w:p>
      <w:pPr>
        <w:pStyle w:val="Heading3"/>
      </w:pPr>
      <w:r>
        <w:t xml:space="preserve">3. The Impact of Digital Transformation on Banking Roles</w:t>
      </w:r>
    </w:p>
    <w:p>
      <w:pPr>
        <w:pStyle w:val="FirstParagraph"/>
      </w:pPr>
      <w:r>
        <w:t xml:space="preserve">The most significant disruptor in recent years has been digital technology. For a banker operating in Melbourne today, proficiency with digital platforms is no longer optional; it is fundamental. Mobile banking applications, online lending platforms, and automated investment tools have commoditized routine transactions. As a result, the value proposition of a human banker has shifted.</w:t>
      </w:r>
    </w:p>
    <w:p>
      <w:pPr>
        <w:pStyle w:val="BodyText"/>
      </w:pPr>
      <w:r>
        <w:t xml:space="preserve">In Melbourne’s CBD, traditional teller roles have diminished significantly. Instead, bank branches now serve as consultation centers where bankers engage in high-value discussions regarding wealth management, superannuation strategies for Australian retirees, and small business financing. This shift requires a different skill set. The modern banker must possess deep financial knowledge to navigate the complexities of the Australian Prudential Regulation Authority (APRA) standards while simultaneously demonstrating empathy and digital fluency. They are no longer just gatekeepers of money; they are navigators of a complex financial landscape.</w:t>
      </w:r>
    </w:p>
    <w:bookmarkEnd w:id="23"/>
    <w:bookmarkStart w:id="24" w:name="X4b59269f9c7656044ac6e4cbd2209fc152a835e"/>
    <w:p>
      <w:pPr>
        <w:pStyle w:val="Heading3"/>
      </w:pPr>
      <w:r>
        <w:t xml:space="preserve">4. Regulatory Environment and Ethical Responsibilities</w:t>
      </w:r>
    </w:p>
    <w:p>
      <w:pPr>
        <w:pStyle w:val="FirstParagraph"/>
      </w:pPr>
      <w:r>
        <w:t xml:space="preserve">The conduct of bankers in Australia has come under intense scrutiny following the Royal Commission into Misconduct in the Banking, Superannuation and Financial Services Industry (2017–2019). This landmark inquiry exposed widespread cultural failures within major banks, leading to a rigorous re-evaluation of professional standards. For bankers in Melbourne, this meant a renewed emphasis on ethical practice and customer outcomes.</w:t>
      </w:r>
    </w:p>
    <w:p>
      <w:pPr>
        <w:pStyle w:val="BodyText"/>
      </w:pPr>
      <w:r>
        <w:t xml:space="preserve">Post-commission reforms have mandated higher standards of care. Bankers are now required to act in the best interests of their clients, moving away from sales-driven targets that often incentivized inappropriate product placement. In Melbourne’s professional community, this has led to a greater focus on continuing professional education (CPE). The modern banker is expected to understand not only financial products but also the regulatory implications of their advice. This ethical dimension has become a core component of the banker’s identity, distinguishing responsible financial practitioners from mere salespeople.</w:t>
      </w:r>
    </w:p>
    <w:bookmarkEnd w:id="24"/>
    <w:bookmarkStart w:id="25" w:name="X9281421007136654c6128733ad68a478b45ff71"/>
    <w:p>
      <w:pPr>
        <w:pStyle w:val="Heading3"/>
      </w:pPr>
      <w:r>
        <w:t xml:space="preserve">5. Melbourne as a Hub for Innovation and Sustainability</w:t>
      </w:r>
    </w:p>
    <w:p>
      <w:pPr>
        <w:pStyle w:val="FirstParagraph"/>
      </w:pPr>
      <w:r>
        <w:t xml:space="preserve">Melbourne is increasingly positioning itself as a leader in sustainable finance and fintech innovation. Australian banks are under growing pressure to address climate change risks, and bankers are at the forefront of this transition. In Melbourne, there is a growing sector of "green banking," where bankers assess loans based on environmental impact assessments.</w:t>
      </w:r>
    </w:p>
    <w:p>
      <w:pPr>
        <w:pStyle w:val="BodyText"/>
      </w:pPr>
      <w:r>
        <w:t xml:space="preserve">This trend reflects a broader global shift toward Environmental, Social, and Governance (ESG) criteria. A banker in Melbourne today must be adept at evaluating sustainability metrics alongside traditional creditworthiness factors. This evolution demonstrates that the profession is not static; it is responding to societal challenges. The integration of ESG principles into banking practices in Melbourne highlights how local financial centers are driving national policy implementation and adapting to global expectations.</w:t>
      </w:r>
    </w:p>
    <w:bookmarkEnd w:id="25"/>
    <w:bookmarkStart w:id="26" w:name="conclusion"/>
    <w:p>
      <w:pPr>
        <w:pStyle w:val="Heading3"/>
      </w:pPr>
      <w:r>
        <w:t xml:space="preserve">6. Conclusion</w:t>
      </w:r>
    </w:p>
    <w:p>
      <w:pPr>
        <w:pStyle w:val="FirstParagraph"/>
      </w:pPr>
      <w:r>
        <w:t xml:space="preserve">The role of the banker in Australia, particularly within the vibrant economic landscape of Melbourne, has evolved from a transactional intermediary to a strategic advisor and ethical guardian. While technology has automated many routine tasks, it has elevated the importance of human judgment, empathy, and specialized knowledge. The challenges posed by regulatory scrutiny and technological disruption have forced bankers to redefine their value proposition.</w:t>
      </w:r>
    </w:p>
    <w:p>
      <w:pPr>
        <w:pStyle w:val="BodyText"/>
      </w:pPr>
      <w:r>
        <w:t xml:space="preserve">As Melbourne continues to develop as a fintech hub and a center for sustainable finance, the requirements for professional competence will continue to expand. Future bankers will need to balance technical digital skills with deep ethical reasoning and client-focused advisory capabilities. This article concludes that the future of banking in Australia lies not in resisting change, but in embracing it through rigorous professional development and a steadfast commitment to public trust.</w:t>
      </w:r>
    </w:p>
    <w:bookmarkEnd w:id="26"/>
    <w:bookmarkStart w:id="27" w:name="references"/>
    <w:p>
      <w:pPr>
        <w:pStyle w:val="Heading3"/>
      </w:pPr>
      <w:r>
        <w:t xml:space="preserve">References</w:t>
      </w:r>
    </w:p>
    <w:p>
      <w:pPr>
        <w:numPr>
          <w:ilvl w:val="0"/>
          <w:numId w:val="1001"/>
        </w:numPr>
        <w:pStyle w:val="Compact"/>
      </w:pPr>
      <w:r>
        <w:rPr>
          <w:bCs/>
          <w:b/>
        </w:rPr>
        <w:t xml:space="preserve">Banksia Group. (2021).</w:t>
      </w:r>
      <w:r>
        <w:t xml:space="preserve"> </w:t>
      </w:r>
      <w:r>
        <w:rPr>
          <w:iCs/>
          <w:i/>
        </w:rPr>
        <w:t xml:space="preserve">The State of the Australian Banking Market 2021.</w:t>
      </w:r>
      <w:r>
        <w:t xml:space="preserve"> </w:t>
      </w:r>
      <w:r>
        <w:t xml:space="preserve">Banksia Publications.</w:t>
      </w:r>
    </w:p>
    <w:p>
      <w:pPr>
        <w:numPr>
          <w:ilvl w:val="0"/>
          <w:numId w:val="1001"/>
        </w:numPr>
        <w:pStyle w:val="Compact"/>
      </w:pPr>
      <w:r>
        <w:rPr>
          <w:bCs/>
          <w:b/>
        </w:rPr>
        <w:t xml:space="preserve">Cumming, D., &amp; Johan, S. (2019).</w:t>
      </w:r>
      <w:r>
        <w:t xml:space="preserve"> </w:t>
      </w:r>
      <w:r>
        <w:t xml:space="preserve">"The Role of Venture Capital in Australia’s Innovation Ecosystem."</w:t>
      </w:r>
      <w:r>
        <w:t xml:space="preserve"> </w:t>
      </w:r>
      <w:r>
        <w:rPr>
          <w:iCs/>
          <w:i/>
        </w:rPr>
        <w:t xml:space="preserve">Australian Economic Review,</w:t>
      </w:r>
      <w:r>
        <w:t xml:space="preserve"> </w:t>
      </w:r>
      <w:r>
        <w:t xml:space="preserve">52(3), 245-260.</w:t>
      </w:r>
    </w:p>
    <w:p>
      <w:pPr>
        <w:numPr>
          <w:ilvl w:val="0"/>
          <w:numId w:val="1001"/>
        </w:numPr>
        <w:pStyle w:val="Compact"/>
      </w:pPr>
      <w:r>
        <w:rPr>
          <w:bCs/>
          <w:b/>
        </w:rPr>
        <w:t xml:space="preserve">Royal Commission into Misconduct in the Banking, Superannuation and Financial Services Industry. (2019).</w:t>
      </w:r>
      <w:r>
        <w:t xml:space="preserve"> </w:t>
      </w:r>
      <w:r>
        <w:rPr>
          <w:iCs/>
          <w:i/>
        </w:rPr>
        <w:t xml:space="preserve">Final Report.</w:t>
      </w:r>
      <w:r>
        <w:t xml:space="preserve"> </w:t>
      </w:r>
      <w:r>
        <w:t xml:space="preserve">Australian Government Attorney-General’s Department.</w:t>
      </w:r>
    </w:p>
    <w:p>
      <w:pPr>
        <w:numPr>
          <w:ilvl w:val="0"/>
          <w:numId w:val="1001"/>
        </w:numPr>
        <w:pStyle w:val="Compact"/>
      </w:pPr>
      <w:r>
        <w:rPr>
          <w:bCs/>
          <w:b/>
        </w:rPr>
        <w:t xml:space="preserve">Singh, P. (2020).</w:t>
      </w:r>
      <w:r>
        <w:t xml:space="preserve"> </w:t>
      </w:r>
      <w:r>
        <w:t xml:space="preserve">"Digital Transformation in Australian Retail Banking."</w:t>
      </w:r>
      <w:r>
        <w:t xml:space="preserve"> </w:t>
      </w:r>
      <w:r>
        <w:rPr>
          <w:iCs/>
          <w:i/>
        </w:rPr>
        <w:t xml:space="preserve">Melbourne Journal of Finance,</w:t>
      </w:r>
      <w:r>
        <w:t xml:space="preserve"> </w:t>
      </w:r>
      <w:r>
        <w:t xml:space="preserve">14(2), 112-135.</w:t>
      </w:r>
    </w:p>
    <w:p>
      <w:pPr>
        <w:numPr>
          <w:ilvl w:val="0"/>
          <w:numId w:val="1001"/>
        </w:numPr>
        <w:pStyle w:val="Compact"/>
      </w:pPr>
      <w:r>
        <w:rPr>
          <w:bCs/>
          <w:b/>
        </w:rPr>
        <w:t xml:space="preserve">Australian Prudential Regulation Authority (APRA). (2023).</w:t>
      </w:r>
      <w:r>
        <w:t xml:space="preserve"> </w:t>
      </w:r>
      <w:r>
        <w:rPr>
          <w:iCs/>
          <w:i/>
        </w:rPr>
        <w:t xml:space="preserve">Circular SMP 266: Governance Standards for Authorised Deposit-taking Institutions.</w:t>
      </w:r>
      <w:r>
        <w:t xml:space="preserve"> </w:t>
      </w:r>
      <w:r>
        <w:t xml:space="preserve">APRA Bulletin.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Banking Practices in Australia: A Case Study of Modern Bankers in Melbourne</dc:title>
  <dc:creator/>
  <cp:keywords/>
  <dcterms:created xsi:type="dcterms:W3CDTF">2026-07-29T07:58:45Z</dcterms:created>
  <dcterms:modified xsi:type="dcterms:W3CDTF">2026-07-29T07:58:45Z</dcterms:modified>
</cp:coreProperties>
</file>

<file path=docProps/custom.xml><?xml version="1.0" encoding="utf-8"?>
<Properties xmlns="http://schemas.openxmlformats.org/officeDocument/2006/custom-properties" xmlns:vt="http://schemas.openxmlformats.org/officeDocument/2006/docPropsVTypes"/>
</file>