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Canada</w:t>
      </w:r>
      <w:r>
        <w:t xml:space="preserve"> </w:t>
      </w:r>
      <w:r>
        <w:t xml:space="preserve">Toronto:</w:t>
      </w:r>
      <w:r>
        <w:t xml:space="preserve"> </w:t>
      </w:r>
      <w:r>
        <w:t xml:space="preserve">Structural</w:t>
      </w:r>
      <w:r>
        <w:t xml:space="preserve"> </w:t>
      </w:r>
      <w:r>
        <w:t xml:space="preserve">Shifts</w:t>
      </w:r>
      <w:r>
        <w:t xml:space="preserve"> </w:t>
      </w:r>
      <w:r>
        <w:t xml:space="preserve">and</w:t>
      </w:r>
      <w:r>
        <w:t xml:space="preserve"> </w:t>
      </w:r>
      <w:r>
        <w:t xml:space="preserve">Regulatory</w:t>
      </w:r>
      <w:r>
        <w:t xml:space="preserve"> </w:t>
      </w:r>
      <w:r>
        <w:t xml:space="preserve">Realities</w:t>
      </w:r>
    </w:p>
    <w:bookmarkStart w:id="27" w:name="X3384827a9c52565524eba0dcd20f51b218e8818"/>
    <w:p>
      <w:pPr>
        <w:pStyle w:val="Heading1"/>
      </w:pPr>
      <w:r>
        <w:t xml:space="preserve">The Evolving Role of the Banker in Canada Toronto: Structural Shifts, Regulatory Realities, and Professional Identity</w:t>
      </w:r>
    </w:p>
    <w:p>
      <w:pPr>
        <w:pStyle w:val="FirstParagraph"/>
      </w:pPr>
      <w:r>
        <w:rPr>
          <w:bCs/>
          <w:b/>
        </w:rPr>
        <w:t xml:space="preserve">Author:</w:t>
      </w:r>
      <w:r>
        <w:br/>
      </w:r>
      <w:r>
        <w:t xml:space="preserve">J. A. Sterling</w:t>
      </w:r>
      <w:r>
        <w:br/>
      </w:r>
      <w:r>
        <w:rPr>
          <w:iCs/>
          <w:i/>
        </w:rPr>
        <w:t xml:space="preserve">Institute of Financial Economics and Urban Studies</w:t>
      </w:r>
    </w:p>
    <w:p>
      <w:pPr>
        <w:pStyle w:val="BodyText"/>
      </w:pPr>
      <w:r>
        <w:t xml:space="preserve"> </w:t>
      </w:r>
    </w:p>
    <w:p>
      <w:pPr>
        <w:pStyle w:val="BodyText"/>
      </w:pPr>
      <w:r>
        <w:t xml:space="preserve">Abstract</w:t>
      </w:r>
    </w:p>
    <w:p>
      <w:pPr>
        <w:pStyle w:val="BodyText"/>
      </w:pPr>
      <w:r>
        <w:t xml:space="preserve">The financial sector in Canada has long been characterized by a unique stability and concentration, often referred to as the "Big Five" banking model. However, the rapid digitization of financial services, coupled with stringent regulatory frameworks and shifting consumer behaviors, has fundamentally altered the professional landscape for the banker. This article examines the multifaceted role of the banker within Canada Toronto's dynamic economic ecosystem. By analyzing recent data on fintech integration, regulatory compliance pressures (specifically regarding Anti-Money Laundering [AML] and Know Your Customer [KYC] protocols), and evolving client expectations, this study argues that the traditional banker is transitioning from a transactional intermediary to a strategic fiduciary advisor. The findings suggest that while the core competencies of financial acumen remain essential, soft skills such as empathy, digital literacy, and adaptive problem-solving are now paramount for success in Canada Toronto's competitive market.</w:t>
      </w:r>
    </w:p>
    <w:p>
      <w:pPr>
        <w:pStyle w:val="BodyText"/>
      </w:pPr>
      <w:r>
        <w:t xml:space="preserve">Keywords:</w:t>
      </w:r>
    </w:p>
    <w:p>
      <w:pPr>
        <w:pStyle w:val="BodyText"/>
      </w:pPr>
      <w:r>
        <w:t xml:space="preserve">Banker; Canada Toronto; Financial Services; Regulatory Compliance; Fintech Integration.</w:t>
      </w:r>
    </w:p>
    <w:bookmarkStart w:id="20" w:name="i.-introduction"/>
    <w:p>
      <w:pPr>
        <w:pStyle w:val="Heading2"/>
      </w:pPr>
      <w:r>
        <w:t xml:space="preserve">I. Introduction</w:t>
      </w:r>
    </w:p>
    <w:p>
      <w:pPr>
        <w:pStyle w:val="FirstParagraph"/>
      </w:pPr>
      <w:r>
        <w:t xml:space="preserve">The concept of the "banker" has undergone a profound transformation over the past two decades. Historically, the banker was viewed as a gatekeeper of capital, primarily focused on balance sheet management and transactional efficiency within established financial institutions. However, in major urban centers like Canada Toronto, this archetype is being dismantled and reconstructed by a convergence of technological disruption and rigorous regulatory oversight. As Canada's largest city and its economic engine, Toronto serves as the primary hub for the nation's banking sector, housing the headquarters of all five largest banks in Canada.</w:t>
      </w:r>
    </w:p>
    <w:p>
      <w:pPr>
        <w:pStyle w:val="BodyText"/>
      </w:pPr>
      <w:r>
        <w:t xml:space="preserve">This article seeks to analyze how these external pressures have redefined professional identity, operational workflows, and strategic responsibilities for every banker operating within this specific geographic context. The study posits that success in modern banking requires a hybridization of traditional financial expertise with advanced technological proficiency and heightened ethical stewardship. We explore the tension between automation-driven efficiency and the human element of high-touch client relations.</w:t>
      </w:r>
    </w:p>
    <w:bookmarkEnd w:id="20"/>
    <w:bookmarkStart w:id="21" w:name="Xa7cc59b0a6d02e444ee7d487ab3f155f14be1a5"/>
    <w:p>
      <w:pPr>
        <w:pStyle w:val="Heading2"/>
      </w:pPr>
      <w:r>
        <w:t xml:space="preserve">II. The Canadian Banking Landscape: A Unique Ecosystem</w:t>
      </w:r>
    </w:p>
    <w:p>
      <w:pPr>
        <w:pStyle w:val="FirstParagraph"/>
      </w:pPr>
      <w:r>
        <w:t xml:space="preserve">To understand the role of the banker in Canada Toronto, one must first contextualize it within Canada's highly concentrated banking sector. Unlike more fragmented markets, such as those in the United States or Europe, Canada's system is dominated by a handful of large institutions that have historically benefited from high barriers to entry and robust regulatory protection. For the banker operating within this system—specifically in the dense commercial corridor of downtown Toronto—the environment offers stability but also demands rigorous adherence to centralized compliance standards.</w:t>
      </w:r>
    </w:p>
    <w:p>
      <w:pPr>
        <w:pStyle w:val="BodyText"/>
      </w:pPr>
      <w:r>
        <w:t xml:space="preserve">Toronto acts as a critical node for international finance, particularly with strong ties to North American and global markets. Consequently, bankers here are not merely managing local deposits; they are facilitating complex cross-border transactions, managing foreign exchange risks for multinational corporations headquartered in the Financial District (Bay Street), and providing wealth management services to high-net-worth individuals. This global connectivity necessitates that every banker possess a sophisticated understanding of international regulations, including those imposed by the Financial Transactions and Reports Analysis Centre of Canada (FINTRAC).</w:t>
      </w:r>
    </w:p>
    <w:bookmarkEnd w:id="21"/>
    <w:bookmarkStart w:id="22" w:name="X52bd38a8d36eccc41895f5e13e7900c77272905"/>
    <w:p>
      <w:pPr>
        <w:pStyle w:val="Heading2"/>
      </w:pPr>
      <w:r>
        <w:t xml:space="preserve">III. Regulatory Pressures and Compliance as a Core Competency</w:t>
      </w:r>
    </w:p>
    <w:p>
      <w:pPr>
        <w:pStyle w:val="FirstParagraph"/>
      </w:pPr>
      <w:r>
        <w:t xml:space="preserve">In recent years, regulatory scrutiny has intensified globally following various financial crises. In Canada, regulators such as the Office of the Superintendent of Financial Institutions (OSFI) have imposed stricter capital adequacy requirements and enhanced risk management frameworks. For the banker in Toronto, this means that compliance is no longer a back-office function delegated to a specialized team; it is embedded into daily operations.</w:t>
      </w:r>
    </w:p>
    <w:p>
      <w:pPr>
        <w:pStyle w:val="BodyText"/>
      </w:pPr>
      <w:r>
        <w:t xml:space="preserve">Every banker, from relationship managers to loan officers, must now act as a first line of defense against financial crimes. This includes rigorous due diligence processes under Know Your Customer (KYC) protocols and the detection of suspicious activities under Anti-Money Laundering (AML) laws. The cost of non-compliance is severe, involving massive fines and reputational damage that can devastate both individual careers and institutional standing. Therefore, modern education for the banker includes extensive training in legal frameworks, ethical decision-making, and data analytics used to flag anomalous transactions.</w:t>
      </w:r>
    </w:p>
    <w:bookmarkEnd w:id="22"/>
    <w:bookmarkStart w:id="23" w:name="X92f7f23e28add601afc44d87f6ec13717f65bff"/>
    <w:p>
      <w:pPr>
        <w:pStyle w:val="Heading2"/>
      </w:pPr>
      <w:r>
        <w:t xml:space="preserve">IV. Technological Disruption: The Rise of Fintech</w:t>
      </w:r>
    </w:p>
    <w:p>
      <w:pPr>
        <w:pStyle w:val="FirstParagraph"/>
      </w:pPr>
      <w:r>
        <w:t xml:space="preserve">The emergence of Financial Technology (Fintech) has been perhaps the most disruptive force reshaping the role of the banker. In Canada Toronto, a burgeoning hub for tech startups, traditional banks are facing competition from digital-only neobanks and innovative fintech firms that offer seamless user experiences and lower fees. This has forced incumbent institutions to accelerate their digital transformation efforts.</w:t>
      </w:r>
    </w:p>
    <w:p>
      <w:pPr>
        <w:pStyle w:val="BodyText"/>
      </w:pPr>
      <w:r>
        <w:t xml:space="preserve">For the modern banker, this technological shift is double-edged. On one hand, automation handles routine tasks such as account opening, basic inquiries, and standard loan processing. This increases efficiency but also reduces the volume of direct human interaction for transactional banking. On the other hand, technology provides bankers with powerful tools—such as Artificial Intelligence (AI)-driven client profiling and predictive analytics—to offer personalized financial advice at scale. The successful banker in Canada Toronto leverages these tools to enhance their value proposition, moving beyond simple product sales to holistic wealth planning and strategic corporate advisory.</w:t>
      </w:r>
    </w:p>
    <w:bookmarkEnd w:id="23"/>
    <w:bookmarkStart w:id="24" w:name="Xe82d4c4f18e7f203e65dcc5e5bff6c709e21015"/>
    <w:p>
      <w:pPr>
        <w:pStyle w:val="Heading2"/>
      </w:pPr>
      <w:r>
        <w:t xml:space="preserve">V. The Human Element: Empathy in a Digital Age</w:t>
      </w:r>
    </w:p>
    <w:p>
      <w:pPr>
        <w:pStyle w:val="FirstParagraph"/>
      </w:pPr>
      <w:r>
        <w:t xml:space="preserve">Despite the advancements in automation and digital platforms, the human element remains irreplaceable in high-stakes financial relationships. Complex financial decisions—such as estate planning, business succession strategies, or navigating economic uncertainty during inflationary periods—require nuanced communication and trust-building that algorithms cannot replicate. In Canada Toronto's diverse demographic landscape, cultural competence and linguistic diversity are also critical assets for bankers serving multicultural populations.</w:t>
      </w:r>
    </w:p>
    <w:p>
      <w:pPr>
        <w:pStyle w:val="BodyText"/>
      </w:pPr>
      <w:r>
        <w:t xml:space="preserve">The role of the banker is increasingly defined by empathy and active listening. Clients expect their financial advisors to understand not just their financial goals, but also their personal circumstances and values. This shift towards advisory-based banking requires soft skills that traditional finance curricula often overlooked: emotional intelligence, conflict resolution, and adaptive communication styles.</w:t>
      </w:r>
    </w:p>
    <w:bookmarkEnd w:id="24"/>
    <w:bookmarkStart w:id="25" w:name="vi.-conclusion"/>
    <w:p>
      <w:pPr>
        <w:pStyle w:val="Heading2"/>
      </w:pPr>
      <w:r>
        <w:t xml:space="preserve">VI. Conclusion</w:t>
      </w:r>
    </w:p>
    <w:p>
      <w:pPr>
        <w:pStyle w:val="FirstParagraph"/>
      </w:pPr>
      <w:r>
        <w:t xml:space="preserve">In conclusion, the role of the banker in Canada Toronto is undergoing a significant paradigm shift. The traditional image of the banker as a solitary figure behind a desk balancing ledgers has given way to that of a dynamic, tech-savvy fiduciary who navigates complex regulatory environments and leverages advanced data analytics. As Canada Toronto continues to solidify its position as a global financial center, the demand for bankers who can bridge the gap between human-centric advisory services and technological efficiency will only grow.</w:t>
      </w:r>
    </w:p>
    <w:p>
      <w:pPr>
        <w:pStyle w:val="BodyText"/>
      </w:pPr>
      <w:r>
        <w:t xml:space="preserve">Future research should focus on longitudinal studies tracking career trajectories of bankers in this region post-pandemic, further exploring how remote work trends and digital-first customer bases impact professional development and institutional culture. Ultimately, while the tools may change, the fundamental purpose of the banker—managing risk and facilitating prosperity—remains constant. However, achieving this mandate now requires a broader skill set than ever before.</w:t>
      </w:r>
    </w:p>
    <w:bookmarkEnd w:id="25"/>
    <w:bookmarkStart w:id="26" w:name="vii.-references"/>
    <w:p>
      <w:pPr>
        <w:pStyle w:val="Heading2"/>
      </w:pPr>
      <w:r>
        <w:t xml:space="preserve">VII. References</w:t>
      </w:r>
    </w:p>
    <w:p>
      <w:pPr>
        <w:pStyle w:val="FirstParagraph"/>
      </w:pPr>
      <w:r>
        <w:rPr>
          <w:iCs/>
          <w:i/>
        </w:rPr>
        <w:t xml:space="preserve">(Note: These references are illustrative for academic formatting purposes)</w:t>
      </w:r>
    </w:p>
    <w:p>
      <w:pPr>
        <w:numPr>
          <w:ilvl w:val="0"/>
          <w:numId w:val="1001"/>
        </w:numPr>
        <w:pStyle w:val="Compact"/>
      </w:pPr>
      <w:r>
        <w:t xml:space="preserve">Bank of Canada. (2023). Annual Review of Financial Stability. Ottawa: Bank of Canada.</w:t>
      </w:r>
    </w:p>
    <w:p>
      <w:pPr>
        <w:numPr>
          <w:ilvl w:val="0"/>
          <w:numId w:val="1001"/>
        </w:numPr>
        <w:pStyle w:val="Compact"/>
      </w:pPr>
      <w:r>
        <w:t xml:space="preserve">KPMG LLP. (2024). State of the Canadian Banking Industry Report. Toronto: KPMG.</w:t>
      </w:r>
    </w:p>
    <w:p>
      <w:pPr>
        <w:numPr>
          <w:ilvl w:val="0"/>
          <w:numId w:val="1001"/>
        </w:numPr>
        <w:pStyle w:val="Compact"/>
      </w:pPr>
      <w:r>
        <w:t xml:space="preserve">Office of the Superintendent of Financial Institutions Canada (OSFI). (2023). Guidelines on Compliance Risk Management. Ottawa: Government of Canada.</w:t>
      </w:r>
    </w:p>
    <w:p>
      <w:pPr>
        <w:numPr>
          <w:ilvl w:val="0"/>
          <w:numId w:val="1001"/>
        </w:numPr>
        <w:pStyle w:val="Compact"/>
      </w:pPr>
      <w:r>
        <w:t xml:space="preserve">Morgan Stanley &amp; Co. International plc, &amp; Deloitte LLP. (2023). The Canadian Wealth Management Outlook.</w:t>
      </w:r>
    </w:p>
    <w:p>
      <w:pPr>
        <w:numPr>
          <w:ilvl w:val="0"/>
          <w:numId w:val="1001"/>
        </w:numPr>
        <w:pStyle w:val="Compact"/>
      </w:pPr>
      <w:r>
        <w:t xml:space="preserve">Statistics Canada. (2024). Labour Force Survey, Special Analysis: Employment in the Finance and Insurance Industries in Ontario.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Canada Toronto: Structural Shifts and Regulatory Realities</dc:title>
  <dc:creator/>
  <dc:language>en</dc:language>
  <cp:keywords/>
  <dcterms:created xsi:type="dcterms:W3CDTF">2026-07-29T09:33:18Z</dcterms:created>
  <dcterms:modified xsi:type="dcterms:W3CDTF">2026-07-29T09:33:18Z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