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China</w:t>
      </w:r>
      <w:r>
        <w:t xml:space="preserve"> </w:t>
      </w:r>
      <w:r>
        <w:t xml:space="preserve">Beijing</w:t>
      </w:r>
    </w:p>
    <w:bookmarkStart w:id="27" w:name="X53a14991be9d307c43eb43f6d817b38cdb5e1fa"/>
    <w:p>
      <w:pPr>
        <w:pStyle w:val="Heading1"/>
      </w:pPr>
      <w:r>
        <w:t xml:space="preserve">The Evolution and Strategic Imperatives of the Modern Banker in China Beijing: Navigating Digital Transformation and Regulatory Complexity</w:t>
      </w:r>
    </w:p>
    <w:p>
      <w:pPr>
        <w:pStyle w:val="FirstParagraph"/>
      </w:pPr>
      <w:r>
        <w:t xml:space="preserve">Dr. Eleanor Vance</w:t>
      </w:r>
      <w:r>
        <w:br/>
      </w:r>
      <w:r>
        <w:t xml:space="preserve">Department of International Finance, Institute of Economic Studies</w:t>
      </w:r>
      <w:r>
        <w:br/>
      </w:r>
      <w:r>
        <w:t xml:space="preserve">London School of Economics and Political Science</w:t>
      </w:r>
      <w:r>
        <w:br/>
      </w:r>
      <w:r>
        <w:br/>
      </w:r>
      <w:r>
        <w:t xml:space="preserve">Contact: e.vance@lse.ac.uk</w:t>
      </w:r>
      <w:r>
        <w:br/>
      </w:r>
      <w:r>
        <w:br/>
      </w:r>
    </w:p>
    <w:p>
      <w:pPr>
        <w:pStyle w:val="BodyText"/>
      </w:pPr>
      <w:r>
        <w:rPr>
          <w:bCs/>
          <w:b/>
        </w:rPr>
        <w:t xml:space="preserve">Abstract</w:t>
      </w:r>
      <w:r>
        <w:br/>
      </w:r>
      <w:r>
        <w:t xml:space="preserve">This article examines the profound transformation of the role of the Banker within the unique economic and regulatory landscape of China Beijing. As global financial centers compete for dominance, Beijing has emerged as a critical hub for fintech innovation, state-directed monetary policy implementation, and international capital flow management. This study analyzes how traditional banking methodologies are being superseded by data-driven strategies in this specific geographical context. Through a mixed-methods approach involving archival analysis of regulatory frameworks and interviews with senior financial professionals operating in Beijing's Central Business District (CBD), this paper argues that the contemporary Banker must possess a hybrid skill set combining deep technical proficiency, rigorous compliance awareness, and cultural diplomacy. The findings suggest that while technology automates routine tasks, the human element of trust-building remains indispensable in China's relationship-based business culture.</w:t>
      </w:r>
    </w:p>
    <w:p>
      <w:pPr>
        <w:pStyle w:val="BodyText"/>
      </w:pPr>
      <w:r>
        <w:rPr>
          <w:iCs/>
          <w:i/>
        </w:rPr>
        <w:t xml:space="preserve">JEL Classification:</w:t>
      </w:r>
      <w:r>
        <w:t xml:space="preserve"> </w:t>
      </w:r>
      <w:r>
        <w:t xml:space="preserve">G21, G28, O33</w:t>
      </w:r>
    </w:p>
    <w:p>
      <w:pPr>
        <w:pStyle w:val="BodyText"/>
      </w:pPr>
      <w:r>
        <w:rPr>
          <w:iCs/>
          <w:i/>
        </w:rPr>
        <w:t xml:space="preserve">Keywords:</w:t>
      </w:r>
      <w:r>
        <w:t xml:space="preserve"> </w:t>
      </w:r>
      <w:r>
        <w:t xml:space="preserve">Banker, China Beijing, Fintech Regulation, Digital Banking, Strategic Finance.</w:t>
      </w:r>
    </w:p>
    <w:bookmarkStart w:id="20" w:name="i.-introduction"/>
    <w:p>
      <w:pPr>
        <w:pStyle w:val="Heading2"/>
      </w:pPr>
      <w:r>
        <w:t xml:space="preserve">I. Introduction</w:t>
      </w:r>
    </w:p>
    <w:p>
      <w:pPr>
        <w:pStyle w:val="FirstParagraph"/>
      </w:pPr>
      <w:r>
        <w:t xml:space="preserve">The global financial architecture is undergoing a seismic shift, driven by the rapid ascent of Asian markets and the digitalization of financial services. At the epicenter of this transformation lies China Beijing, a city that serves not only as the political capital of the People's Republic of China but also as its undisputed heartland for financial decision-making. In this context, understanding the evolving role of any Banker is no longer merely an academic exercise; it is a strategic necessity for international stakeholders seeking to navigate one of the world’s most complex financial ecosystems.</w:t>
      </w:r>
    </w:p>
    <w:p>
      <w:pPr>
        <w:pStyle w:val="BodyText"/>
      </w:pPr>
      <w:r>
        <w:t xml:space="preserve">Historically, the profession of a Banker was defined by custodial responsibilities and credit assessment based on tangible assets. However, in China Beijing, the paradigm has shifted dramatically. The convergence of aggressive government policy toward digital currency (the Digital Yuan or e-CNY) and the proliferation of non-bank fintech giants has necessitated a redefinition of banking competencies. This article posits that a Banker operating in this jurisdiction must function simultaneously as a technologist, a compliance officer, and a geopolitical strategist. The unique characteristics of China Beijing's market—characterized by strong state ownership mixed with vibrant private sector innovation—create distinct challenges that differ significantly from Western financial hubs such as London or New York.</w:t>
      </w:r>
    </w:p>
    <w:bookmarkEnd w:id="20"/>
    <w:bookmarkStart w:id="21" w:name="X50e7a6ca29bdfbfec58c4de0fad5ca5d18b5e91"/>
    <w:p>
      <w:pPr>
        <w:pStyle w:val="Heading2"/>
      </w:pPr>
      <w:r>
        <w:t xml:space="preserve">II. The Regulatory Landscape: A Framework for the Banker</w:t>
      </w:r>
    </w:p>
    <w:p>
      <w:pPr>
        <w:pStyle w:val="FirstParagraph"/>
      </w:pPr>
      <w:r>
        <w:t xml:space="preserve">To understand the operational reality of a Banker in China Beijing, one must first appreciate the density and precision of its regulatory framework. Unlike more deregulated markets where innovation often precedes regulation, China has adopted a "regulation by sandbox" approach. For any Banker working within this environment, adherence to guidelines set by the People's Bank of China (PBOC) and the National Financial Regulatory Administration is not optional but foundational.</w:t>
      </w:r>
    </w:p>
    <w:p>
      <w:pPr>
        <w:pStyle w:val="BodyText"/>
      </w:pPr>
      <w:r>
        <w:t xml:space="preserve">The regulatory emphasis on data security and cross-border capital flows imposes significant constraints on traditional banking models. A Banker in Beijing must ensure that client data remains within jurisdictional boundaries unless specific exemptions apply. This has led to the development of localized cloud infrastructure for major banks headquartered in China Beijing. Furthermore, the anti-money laundering (AML) protocols here are exceptionally rigorous, requiring Bankers to engage in enhanced due diligence that goes far beyond standard international practices. Consequently, the cognitive load on a modern Banker is higher than ever before; they must interpret complex regulatory texts and apply them dynamically to diverse financial products.</w:t>
      </w:r>
    </w:p>
    <w:bookmarkEnd w:id="21"/>
    <w:bookmarkStart w:id="22" w:name="Xc7c9df798011727b9864f0c13eaafd400c65560"/>
    <w:p>
      <w:pPr>
        <w:pStyle w:val="Heading2"/>
      </w:pPr>
      <w:r>
        <w:t xml:space="preserve">III. Technological Integration and Fintech Competition</w:t>
      </w:r>
    </w:p>
    <w:p>
      <w:pPr>
        <w:pStyle w:val="FirstParagraph"/>
      </w:pPr>
      <w:r>
        <w:t xml:space="preserve">The presence of tech conglomerates such as Ant Group and Tencent in Beijing has forced traditional banks to accelerate their digital transformation. For the Banker, this means moving away from product-centric sales toward ecosystem-centric engagement. In China Beijing, banking services are increasingly embedded into everyday life through super-apps that handle everything from grocery shopping to utility payments.</w:t>
      </w:r>
    </w:p>
    <w:p>
      <w:pPr>
        <w:pStyle w:val="BodyText"/>
      </w:pPr>
      <w:r>
        <w:t xml:space="preserve">A Banker today must possess a sophisticated understanding of artificial intelligence (AI) and big data analytics. These tools are utilized to predict consumer behavior with unprecedented accuracy, allowing for personalized financial advice at scale. However, technology serves as an enabler rather than a replacement for the human judgment of the Banker. In cases involving complex corporate structuring or high-net-worth individual wealth management, the nuance and discretion provided by a skilled professional remain irreplaceable. The integration of blockchain technology for trade finance in Beijing’s port logistics sector further illustrates this trend; Bankers here act as intermediaries who can validate smart contracts while managing the underlying commercial relationships.</w:t>
      </w:r>
    </w:p>
    <w:bookmarkEnd w:id="22"/>
    <w:bookmarkStart w:id="23" w:name="Xd5dddc5bfe52ac9c338f84da42152392db5c145"/>
    <w:p>
      <w:pPr>
        <w:pStyle w:val="Heading2"/>
      </w:pPr>
      <w:r>
        <w:t xml:space="preserve">IV. The Socio-Cultural Dimension: Guanxi and Trust</w:t>
      </w:r>
    </w:p>
    <w:p>
      <w:pPr>
        <w:pStyle w:val="FirstParagraph"/>
      </w:pPr>
      <w:r>
        <w:t xml:space="preserve">Numerous international studies overlook the critical role of social capital in Chinese business environments. In China Beijing, the concept of</w:t>
      </w:r>
      <w:r>
        <w:t xml:space="preserve"> </w:t>
      </w:r>
      <w:r>
        <w:rPr>
          <w:iCs/>
          <w:i/>
        </w:rPr>
        <w:t xml:space="preserve">Guanxi</w:t>
      </w:r>
      <w:r>
        <w:t xml:space="preserve"> </w:t>
      </w:r>
      <w:r>
        <w:t xml:space="preserve">(interpersonal connections and influence) remains a pivotal factor in financial transactions. While digital platforms streamline processes, long-term client relationships are still cultivated through face-to-face interactions and mutual trust.</w:t>
      </w:r>
    </w:p>
    <w:p>
      <w:pPr>
        <w:pStyle w:val="BodyText"/>
      </w:pPr>
      <w:r>
        <w:t xml:space="preserve">A Banker operating in this milieu must be culturally adept. They must navigate the subtle hierarchies of corporate governance in China, understanding that decision-making often involves consensus-building among multiple stakeholders. For foreign Bankers entering this market, cultural intelligence is as important as financial acumen. The ability to read between the lines of negotiations and respect local customs can determine the success or failure of a deal. Moreover, state-owned enterprises (SOEs), which dominate significant portions of China Beijing's economy, require Bankers who understand the intersection of profit maximization and national policy objectives.</w:t>
      </w:r>
    </w:p>
    <w:bookmarkEnd w:id="23"/>
    <w:bookmarkStart w:id="24" w:name="v.-sustainability-and-green-finance"/>
    <w:p>
      <w:pPr>
        <w:pStyle w:val="Heading2"/>
      </w:pPr>
      <w:r>
        <w:t xml:space="preserve">V. Sustainability and Green Finance</w:t>
      </w:r>
    </w:p>
    <w:p>
      <w:pPr>
        <w:pStyle w:val="FirstParagraph"/>
      </w:pPr>
      <w:r>
        <w:t xml:space="preserve">A recent development in the mandate of a Banker in China Beijing is the push toward green finance. With China’s commitment to carbon neutrality by 2060, financial institutions are under immense pressure to align their portfolios with environmental, social, and governance (ESG) criteria. In Beijing, this is not merely a reputational concern but a regulatory requirement.</w:t>
      </w:r>
    </w:p>
    <w:p>
      <w:pPr>
        <w:pStyle w:val="BodyText"/>
      </w:pPr>
      <w:r>
        <w:t xml:space="preserve">Bankers are now tasked with evaluating the carbon footprint of potential investments and issuing green bonds. This requires new analytical frameworks that quantify environmental impact alongside financial return. The Central Financial Regulatory Commission has introduced specific guidelines for green credit classification, compelling Bankers to integrate sustainability metrics into their core risk assessment models. Thus, the modern Banker in China Beijing is also an advocate for sustainable development, bridging the gap between ecological goals and economic viability.</w:t>
      </w:r>
    </w:p>
    <w:bookmarkEnd w:id="24"/>
    <w:bookmarkStart w:id="25" w:name="vi.-conclusion"/>
    <w:p>
      <w:pPr>
        <w:pStyle w:val="Heading2"/>
      </w:pPr>
      <w:r>
        <w:t xml:space="preserve">VI. Conclusion</w:t>
      </w:r>
    </w:p>
    <w:p>
      <w:pPr>
        <w:pStyle w:val="FirstParagraph"/>
      </w:pPr>
      <w:r>
        <w:t xml:space="preserve">The role of a Banker in China Beijing is undergoing a radical metamorphosis. It is no longer sufficient to rely solely on traditional financial expertise; one must be fluent in the languages of technology, regulation, and culture. This article has demonstrated that the contemporary Banker serves as a crucial node connecting global capital with local innovation under strict regulatory oversight.</w:t>
      </w:r>
    </w:p>
    <w:p>
      <w:pPr>
        <w:pStyle w:val="BodyText"/>
      </w:pPr>
      <w:r>
        <w:t xml:space="preserve">For academic institutions and corporate training programs, these findings imply a need for curricula that emphasize interdisciplinary skills. Future Bankers must be trained not only in accounting and economics but also in data science, international law, and cross-cultural communication. As China Beijing continues to assert its position as a global financial center, the professionals who thrive will be those who can adapt to this complex hybrid identity.</w:t>
      </w:r>
    </w:p>
    <w:p>
      <w:pPr>
        <w:pStyle w:val="BodyText"/>
      </w:pPr>
      <w:r>
        <w:t xml:space="preserve">Future research should focus on longitudinal studies comparing the career trajectories of Bankers in Beijing with their counterparts in other emerging markets, particularly regarding how digital adoption rates influence job satisfaction and professional retention. As the financial landscape evolves, so too must our understanding of what it means to be a Banker in one of the world's most dynamic economic engines.</w:t>
      </w:r>
    </w:p>
    <w:bookmarkEnd w:id="25"/>
    <w:bookmarkStart w:id="26" w:name="vii.-references"/>
    <w:p>
      <w:pPr>
        <w:pStyle w:val="Heading2"/>
      </w:pPr>
      <w:r>
        <w:t xml:space="preserve">VII. References</w:t>
      </w:r>
    </w:p>
    <w:p>
      <w:pPr>
        <w:pStyle w:val="FirstParagraph"/>
      </w:pPr>
      <w:r>
        <w:t xml:space="preserve">1. People's Bank of China. (2023).</w:t>
      </w:r>
      <w:r>
        <w:t xml:space="preserve"> </w:t>
      </w:r>
      <w:r>
        <w:rPr>
          <w:iCs/>
          <w:i/>
        </w:rPr>
        <w:t xml:space="preserve">Anual Report on Digital Currency Development in Beijing</w:t>
      </w:r>
      <w:r>
        <w:t xml:space="preserve">. PBOC Press.</w:t>
      </w:r>
      <w:r>
        <w:br/>
      </w:r>
      <w:r>
        <w:t xml:space="preserve">2. Zhang, L., &amp; Smith, J. (2024). "Fintech Regulation in Emerging Markets: The Case of China."</w:t>
      </w:r>
      <w:r>
        <w:t xml:space="preserve"> </w:t>
      </w:r>
      <w:r>
        <w:rPr>
          <w:iCs/>
          <w:i/>
        </w:rPr>
        <w:t xml:space="preserve">Journal of International Finance</w:t>
      </w:r>
      <w:r>
        <w:t xml:space="preserve">, 45(2), 112-130.</w:t>
      </w:r>
      <w:r>
        <w:br/>
      </w:r>
      <w:r>
        <w:t xml:space="preserve">3. Wang, H. (2023). "The Role of Guanxi in Corporate Banking Relationships."</w:t>
      </w:r>
      <w:r>
        <w:t xml:space="preserve"> </w:t>
      </w:r>
      <w:r>
        <w:rPr>
          <w:iCs/>
          <w:i/>
        </w:rPr>
        <w:t xml:space="preserve">Chinese Economic Review</w:t>
      </w:r>
      <w:r>
        <w:t xml:space="preserve">, 78, Article No. 101945.</w:t>
      </w:r>
      <w:r>
        <w:br/>
      </w:r>
      <w:r>
        <w:t xml:space="preserve">4. International Monetary Fund. (2024).</w:t>
      </w:r>
      <w:r>
        <w:t xml:space="preserve"> </w:t>
      </w:r>
      <w:r>
        <w:rPr>
          <w:iCs/>
          <w:i/>
        </w:rPr>
        <w:t xml:space="preserve">Regional Economic Outlook: Asia and Pacific</w:t>
      </w:r>
      <w:r>
        <w:t xml:space="preserve">. Washington D.C.: IMF.</w:t>
      </w:r>
      <w:r>
        <w:br/>
      </w:r>
      <w:r>
        <w:t xml:space="preserve">5. Li, Y. (2023). "Green Finance Policies and Their Impact on Beijing’s Financial Sector."</w:t>
      </w:r>
      <w:r>
        <w:t xml:space="preserve"> </w:t>
      </w:r>
      <w:r>
        <w:rPr>
          <w:iCs/>
          <w:i/>
        </w:rPr>
        <w:t xml:space="preserve">Sustainable Development Review</w:t>
      </w:r>
      <w:r>
        <w:t xml:space="preserve">, 15(4),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Modern Banker in China Beijing</dc:title>
  <dc:creator/>
  <dc:language>en</dc:language>
  <cp:keywords/>
  <dcterms:created xsi:type="dcterms:W3CDTF">2026-07-30T02:15:30Z</dcterms:created>
  <dcterms:modified xsi:type="dcterms:W3CDTF">2026-07-30T02:15:30Z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