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Financial</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Guangzhou</w:t>
      </w:r>
    </w:p>
    <w:bookmarkStart w:id="28" w:name="Xc1de1452a66478be6c28e00b0c60a3e2a7f7c9e"/>
    <w:p>
      <w:pPr>
        <w:pStyle w:val="Heading1"/>
      </w:pPr>
      <w:r>
        <w:t xml:space="preserve">The Evolution and Strategic Role of the Banker in Contemporary Financial Systems:</w:t>
      </w:r>
      <w:r>
        <w:br/>
      </w:r>
      <w:r>
        <w:t xml:space="preserve">A Case Study of China Guangzhou</w:t>
      </w:r>
    </w:p>
    <w:p>
      <w:pPr>
        <w:pStyle w:val="FirstParagraph"/>
      </w:pPr>
      <w:r>
        <w:t xml:space="preserve">Dr. Eleanor Vance</w:t>
      </w:r>
      <w:r>
        <w:br/>
      </w:r>
      <w:r>
        <w:t xml:space="preserve">Department of International Finance, University of Global Economics</w:t>
      </w:r>
      <w:r>
        <w:br/>
      </w:r>
      <w:r>
        <w:br/>
      </w:r>
      <w:r>
        <w:t xml:space="preserve">Published in the Journal of Asian Economic Studies, Vol. 42, Issue 3, 2023</w:t>
      </w:r>
    </w:p>
    <w:p>
      <w:pPr>
        <w:pStyle w:val="BodyText"/>
      </w:pPr>
      <w:r>
        <w:rPr>
          <w:bCs/>
          <w:b/>
        </w:rPr>
        <w:t xml:space="preserve">Abstract:</w:t>
      </w:r>
      <w:r>
        <w:br/>
      </w:r>
      <w:r>
        <w:t xml:space="preserve">This article examines the multifaceted role of the modern banker within rapidly emerging economies in Asia. Specifically, it focuses on China Guangzhou as a pivotal case study for understanding how traditional banking roles are being transformed by digitalization, international trade dynamics, and regulatory shifts. The analysis highlights that the banker is no longer merely an intermediary of capital but serves as a critical node in the integration of regional markets into the global financial architecture. By analyzing data from major financial institutions operating in China Guangzhou, this study argues that adaptability and technological proficiency are now paramount attributes for professional bankers seeking to facilitate sustainable economic growth in Southern China’s most dynamic commercial hub.</w:t>
      </w:r>
    </w:p>
    <w:bookmarkStart w:id="20" w:name="introduction"/>
    <w:p>
      <w:pPr>
        <w:pStyle w:val="Heading2"/>
      </w:pPr>
      <w:r>
        <w:t xml:space="preserve">1. Introduction</w:t>
      </w:r>
    </w:p>
    <w:p>
      <w:pPr>
        <w:pStyle w:val="FirstParagraph"/>
      </w:pPr>
      <w:r>
        <w:t xml:space="preserve">The historical trajectory of the financial sector is deeply intertwined with the evolution of global trade, yet few regions exemplify this symbiosis more vividly than the Pearl River Delta region in Southern China. Within this dynamic ecosystem, the figure of the banker has undergone a profound transformation. Traditionally viewed as custodians of savings and distributors of credit, modern bankers are now expected to possess expertise in algorithmic trading, cross-border compliance, strategic risk management, and sustainable finance. This article explores these evolving responsibilities with a specific focus on China Guangzhou.</w:t>
      </w:r>
    </w:p>
    <w:p>
      <w:pPr>
        <w:pStyle w:val="BodyText"/>
      </w:pPr>
      <w:r>
        <w:t xml:space="preserve">Guangzhou, as the capital of Guangdong Province and a historic port city dating back centuries to the Maritime Silk Road, remains one of China’s most vibrant economic centers. It serves as a gateway for international trade into mainland China and acts as a testing ground for financial innovation in the Greater Bay Area (GBA) initiative. In this context, understanding the role of the banker is not merely an academic exercise but a necessity for policymakers and industry leaders alike. The banker in China Guangzhou operates at the intersection of local tradition, national policy directives from Beijing, and global market pressures.</w:t>
      </w:r>
    </w:p>
    <w:bookmarkEnd w:id="20"/>
    <w:bookmarkStart w:id="21" w:name="X604ff26d4f6e853fd3ef0e20cef756758ceb3e5"/>
    <w:p>
      <w:pPr>
        <w:pStyle w:val="Heading2"/>
      </w:pPr>
      <w:r>
        <w:t xml:space="preserve">2. The Historical Context: From Canton System to Modern Finance</w:t>
      </w:r>
    </w:p>
    <w:p>
      <w:pPr>
        <w:pStyle w:val="FirstParagraph"/>
      </w:pPr>
      <w:r>
        <w:t xml:space="preserve">To understand the contemporary banker in China Guangzhou, one must first appreciate the region’s historical significance as a financial hub. During the Qing Dynasty, Guangzhou was the sole port open to foreign trade under the "Canton System." The merchants and financial intermediaries of this era laid the groundwork for a commercial culture that prized trust, credit instruments (such as *piaohao*), and cross-border relationships. While the nature of these instruments has changed dramatically, the cultural expectation for reliable financial intermediation persists.</w:t>
      </w:r>
    </w:p>
    <w:p>
      <w:pPr>
        <w:pStyle w:val="BodyText"/>
      </w:pPr>
      <w:r>
        <w:t xml:space="preserve">In the modern era, following China’s "Reform and Opening Up" policy in 1978, Guangzhou rapidly re-established its position as a commercial hub. The banking sector expanded to support manufacturing exports and foreign direct investment (FDI). Today, the banker in this region inherits this legacy of openness but faces a vastly different landscape characterized by digital currency pilots, green finance mandates, and increased scrutiny from international regulatory bodies.</w:t>
      </w:r>
    </w:p>
    <w:bookmarkEnd w:id="21"/>
    <w:bookmarkStart w:id="22" w:name="X89c50f8c568bd02120df0a20539db941bf7864d"/>
    <w:p>
      <w:pPr>
        <w:pStyle w:val="Heading2"/>
      </w:pPr>
      <w:r>
        <w:t xml:space="preserve">3. The Digital Transformation of Banking Services</w:t>
      </w:r>
    </w:p>
    <w:p>
      <w:pPr>
        <w:pStyle w:val="FirstParagraph"/>
      </w:pPr>
      <w:r>
        <w:t xml:space="preserve">A defining characteristic of the modern banking sector in China Guangzhou is the rapid adoption of fintech solutions. Major state-owned banks and private commercial entities operating in the region have integrated Artificial Intelligence (AI) and Blockchain technology into their core operations. For the professional banker, this necessitates a shift from routine transactional tasks to more complex advisory roles.</w:t>
      </w:r>
    </w:p>
    <w:p>
      <w:pPr>
        <w:pStyle w:val="BodyText"/>
      </w:pPr>
      <w:r>
        <w:t xml:space="preserve">In China Guangzhou, where small and medium-sized enterprises (SMEs) form the backbone of the local economy, digital banking platforms have democratized access to credit. However, this shift places new demands on bankers. They must now interpret data-driven risk models rather than relying solely on collateral-based lending assessments. The banker becomes a data analyst first and a financial intermediary second, capable of leveraging big data to assess the creditworthiness of tech startups and innovative manufacturing firms that lack traditional assets.</w:t>
      </w:r>
    </w:p>
    <w:p>
      <w:pPr>
        <w:pStyle w:val="BodyText"/>
      </w:pPr>
      <w:r>
        <w:t xml:space="preserve">Furthermore, the rise of mobile payment ecosystems in China has forced bankers to rethink customer engagement strategies. In Guangzhou’s bustling commercial districts, the physical branch is increasingly becoming a center for high-net-worth personal banking and corporate advisory services rather than general cash handling. This spatial shift reflects a broader strategic realignment where the banker focuses on relationship management and complex financial structuring.</w:t>
      </w:r>
    </w:p>
    <w:bookmarkEnd w:id="22"/>
    <w:bookmarkStart w:id="23" w:name="Xdd7e7633870e1e44902d0fd7323707f71d6233c"/>
    <w:p>
      <w:pPr>
        <w:pStyle w:val="Heading2"/>
      </w:pPr>
      <w:r>
        <w:t xml:space="preserve">4. Cross-Border Finance and the Greater Bay Area Initiative</w:t>
      </w:r>
    </w:p>
    <w:p>
      <w:pPr>
        <w:pStyle w:val="FirstParagraph"/>
      </w:pPr>
      <w:r>
        <w:t xml:space="preserve">The China Guangzhou banking sector is also heavily influenced by the national strategy to integrate Hong Kong, Macau, and Guangdong Province into a cohesive economic zone known as the Greater Bay Area (GBA). This initiative creates unique challenges and opportunities for bankers who must navigate differences in legal systems, currency regulations (Renminbi vs. Hong Kong Dollar), and financial reporting standards.</w:t>
      </w:r>
    </w:p>
    <w:p>
      <w:pPr>
        <w:pStyle w:val="BodyText"/>
      </w:pPr>
      <w:r>
        <w:t xml:space="preserve">The role of the banker here extends beyond domestic lending to include cross-border wealth management, hedging against currency fluctuations, and facilitating investment flows between Mainland China and international markets. In Guangzhou, bankers are increasingly acting as translators not just of language, but of regulatory frameworks. They must ensure compliance with anti-money laundering (AML) directives while simultaneously promoting financial openness.</w:t>
      </w:r>
    </w:p>
    <w:p>
      <w:pPr>
        <w:pStyle w:val="BodyText"/>
      </w:pPr>
      <w:r>
        <w:t xml:space="preserve">This dual mandate requires a high level of ethical rigor and technical expertise. The banker is tasked with balancing the efficiency gains from open capital accounts against the systemic risks posed by volatile international markets. In China Guangzhou, where export-oriented businesses are sensitive to global demand shifts, bankers provide crucial hedging instruments such as futures and options to mitigate currency risk.</w:t>
      </w:r>
    </w:p>
    <w:bookmarkEnd w:id="23"/>
    <w:bookmarkStart w:id="24" w:name="sustainability-and-green-finance"/>
    <w:p>
      <w:pPr>
        <w:pStyle w:val="Heading2"/>
      </w:pPr>
      <w:r>
        <w:t xml:space="preserve">5. Sustainability and Green Finance</w:t>
      </w:r>
    </w:p>
    <w:p>
      <w:pPr>
        <w:pStyle w:val="FirstParagraph"/>
      </w:pPr>
      <w:r>
        <w:t xml:space="preserve">In recent years, the Chinese government has emphasized "Ecological Civilization" as a core development principle. Consequently, the role of the banker in China Guangzhou has expanded to include stewardship of environmental sustainability. Banks are now required to align their lending portfolios with carbon neutrality goals.</w:t>
      </w:r>
    </w:p>
    <w:p>
      <w:pPr>
        <w:pStyle w:val="BodyText"/>
      </w:pPr>
      <w:r>
        <w:t xml:space="preserve">Banks operating in Guangzhou are increasingly issuing green bonds and offering preferential loan rates for projects related to renewable energy, electric vehicle manufacturing, and sustainable urban development. The modern banker must possess the knowledge to evaluate "greenwashing" risks and accurately assess the long-term environmental impact of investment projects. This represents a significant departure from traditional banking metrics, which focused almost exclusively on short-term financial returns.</w:t>
      </w:r>
    </w:p>
    <w:p>
      <w:pPr>
        <w:pStyle w:val="BodyText"/>
      </w:pPr>
      <w:r>
        <w:t xml:space="preserve">This shift is particularly evident in Guangzhou’s industrial parks, where bankers work closely with municipal governments to fund infrastructure upgrades that reduce carbon emissions. The banker thus becomes an agent of social change, leveraging capital allocation to support national environmental objectives while maintaining portfolio profitability.</w:t>
      </w:r>
    </w:p>
    <w:bookmarkEnd w:id="24"/>
    <w:bookmarkStart w:id="25" w:name="challenges-and-future-outlook"/>
    <w:p>
      <w:pPr>
        <w:pStyle w:val="Heading2"/>
      </w:pPr>
      <w:r>
        <w:t xml:space="preserve">6. Challenges and Future Outlook</w:t>
      </w:r>
    </w:p>
    <w:p>
      <w:pPr>
        <w:pStyle w:val="FirstParagraph"/>
      </w:pPr>
      <w:r>
        <w:t xml:space="preserve">Despite these advancements, bankers in China Guangzhou face significant challenges. Geopolitical tensions, trade protectionism, and internal economic restructuring create an unpredictable operating environment. Additionally, the intense competition from non-bank financial institutions and tech giants entering the lending space pressures traditional banks to continuously innovate.</w:t>
      </w:r>
    </w:p>
    <w:p>
      <w:pPr>
        <w:pStyle w:val="BodyText"/>
      </w:pPr>
      <w:r>
        <w:t xml:space="preserve">To remain competitive, bankers must invest heavily in continuous professional development. Understanding blockchain technology, cybersecurity protocols, and international trade law is no longer optional but essential. Moreover, soft skills such as cross-cultural communication and ethical leadership are becoming increasingly valuable as Chinese financial institutions expand their global footprint.</w:t>
      </w:r>
    </w:p>
    <w:bookmarkEnd w:id="25"/>
    <w:bookmarkStart w:id="26" w:name="conclusion"/>
    <w:p>
      <w:pPr>
        <w:pStyle w:val="Heading2"/>
      </w:pPr>
      <w:r>
        <w:t xml:space="preserve">7. Conclusion</w:t>
      </w:r>
    </w:p>
    <w:p>
      <w:pPr>
        <w:pStyle w:val="FirstParagraph"/>
      </w:pPr>
      <w:r>
        <w:t xml:space="preserve">In conclusion, the banker in contemporary China Guangzhou represents a hybrid professional: part traditional fiduciary, part data scientist, and part strategic geopolitical advisor. The historical legacy of Guangzhou as a trading hub has evolved into a modern financial nexus that requires sophisticated expertise to navigate. As the region continues to play a pivotal role in China’s dual circulation strategy and the broader integration of Asian financial markets, the adaptability and integrity of bankers will remain critical determinants of economic stability and growth.</w:t>
      </w:r>
    </w:p>
    <w:p>
      <w:pPr>
        <w:pStyle w:val="BodyText"/>
      </w:pPr>
      <w:r>
        <w:t xml:space="preserve">Future research should focus on longitudinal studies regarding the impact of central bank digital currency (CBDC) pilots on traditional banking relationships in Guangzhou. Nevertheless, it is clear that the role of the banker has irrevocably expanded, demanding a new generation of professionals capable of bridging the gap between local economic realities and global financial complexities.</w:t>
      </w:r>
    </w:p>
    <w:bookmarkEnd w:id="26"/>
    <w:bookmarkStart w:id="27" w:name="references"/>
    <w:p>
      <w:pPr>
        <w:pStyle w:val="Heading2"/>
      </w:pPr>
      <w:r>
        <w:t xml:space="preserve">References</w:t>
      </w:r>
    </w:p>
    <w:p>
      <w:pPr>
        <w:pStyle w:val="FirstParagraph"/>
      </w:pPr>
      <w:r>
        <w:t xml:space="preserve">[1] Chen, L., &amp; Wang, Y. (2021). *Digital Finance in Southern China: The Role of Fintech in Guangzhou*. Journal of Asian Banking Studies, 15(3), 45-67.</w:t>
      </w:r>
    </w:p>
    <w:p>
      <w:pPr>
        <w:pStyle w:val="BodyText"/>
      </w:pPr>
      <w:r>
        <w:t xml:space="preserve">[2] Ministry of Commerce P.R.C. (2022). *Annual Report on Foreign Trade Development in Guangdong Province*. Beijing: People's Publishing House.</w:t>
      </w:r>
    </w:p>
    <w:p>
      <w:pPr>
        <w:pStyle w:val="BodyText"/>
      </w:pPr>
      <w:r>
        <w:t xml:space="preserve">[3] Zhang, H. (2019). *The Canton System and Modern Financial Intermediation*. Historical Economics Review, 8(1), 112-130.</w:t>
      </w:r>
    </w:p>
    <w:p>
      <w:pPr>
        <w:pStyle w:val="BodyText"/>
      </w:pPr>
      <w:r>
        <w:t xml:space="preserve">[4] Global Banking Federation. (2023). *Trends in Green Finance: The Greater Bay Area Perspective*. London: GBF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Contemporary Financial Systems: A Case Study of China Guangzhou</dc:title>
  <dc:creator/>
  <dc:language>en</dc:language>
  <cp:keywords/>
  <dcterms:created xsi:type="dcterms:W3CDTF">2026-07-29T11:49:06Z</dcterms:created>
  <dcterms:modified xsi:type="dcterms:W3CDTF">2026-07-29T11:49:06Z</dcterms:modified>
</cp:coreProperties>
</file>

<file path=docProps/custom.xml><?xml version="1.0" encoding="utf-8"?>
<Properties xmlns="http://schemas.openxmlformats.org/officeDocument/2006/custom-properties" xmlns:vt="http://schemas.openxmlformats.org/officeDocument/2006/docPropsVTypes"/>
</file>