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Ecosystem</w:t>
      </w:r>
      <w:r>
        <w:t xml:space="preserve"> </w:t>
      </w:r>
      <w:r>
        <w:t xml:space="preserve">of</w:t>
      </w:r>
      <w:r>
        <w:t xml:space="preserve"> </w:t>
      </w:r>
      <w:r>
        <w:t xml:space="preserve">Colombia</w:t>
      </w:r>
      <w:r>
        <w:t xml:space="preserve"> </w:t>
      </w:r>
      <w:r>
        <w:t xml:space="preserve">Bogotá:</w:t>
      </w:r>
      <w:r>
        <w:t xml:space="preserve"> </w:t>
      </w:r>
      <w:r>
        <w:t xml:space="preserve">Strategic</w:t>
      </w:r>
      <w:r>
        <w:t xml:space="preserve"> </w:t>
      </w:r>
      <w:r>
        <w:t xml:space="preserve">Imperatives</w:t>
      </w:r>
      <w:r>
        <w:t xml:space="preserve"> </w:t>
      </w:r>
      <w:r>
        <w:t xml:space="preserve">for</w:t>
      </w:r>
      <w:r>
        <w:t xml:space="preserve"> </w:t>
      </w:r>
      <w:r>
        <w:t xml:space="preserve">Modern</w:t>
      </w:r>
      <w:r>
        <w:t xml:space="preserve"> </w:t>
      </w:r>
      <w:r>
        <w:t xml:space="preserve">Banking</w:t>
      </w:r>
    </w:p>
    <w:bookmarkStart w:id="20" w:name="Xf3d993b0483edff852ae2df7819e7a0c050280f"/>
    <w:p>
      <w:pPr>
        <w:pStyle w:val="Heading1"/>
      </w:pPr>
      <w:r>
        <w:t xml:space="preserve">Journal of Andean Economic Studies and Financial Innovation</w:t>
      </w:r>
    </w:p>
    <w:p>
      <w:pPr>
        <w:pStyle w:val="FirstParagraph"/>
      </w:pPr>
      <w:r>
        <w:rPr>
          <w:bCs/>
          <w:b/>
        </w:rPr>
        <w:t xml:space="preserve">Vol. 14, Issue 3 | Autumn 2023 | pp. 45-68</w:t>
      </w:r>
    </w:p>
    <w:bookmarkEnd w:id="20"/>
    <w:bookmarkStart w:id="29" w:name="Xf383c5d79fbc4a5e80337a9faddd7509dc7e307"/>
    <w:p>
      <w:pPr>
        <w:pStyle w:val="Heading1"/>
      </w:pPr>
      <w:r>
        <w:t xml:space="preserve">The Evolving Role of the Banker in the Financial Ecosystem of Colombia Bogotá: Strategic Imperatives for Modern Banking</w:t>
      </w:r>
    </w:p>
    <w:p>
      <w:pPr>
        <w:pStyle w:val="FirstParagraph"/>
      </w:pPr>
      <w:r>
        <w:rPr>
          <w:bCs/>
          <w:b/>
        </w:rPr>
        <w:t xml:space="preserve">Author:</w:t>
      </w:r>
      <w:r>
        <w:br/>
      </w:r>
      <w:r>
        <w:t xml:space="preserve">Juan D. Restrepo, Ph.D.</w:t>
      </w:r>
      <w:r>
        <w:br/>
      </w:r>
      <w:r>
        <w:t xml:space="preserve">Institute for Economic Research, Universidad de los Andes</w:t>
      </w:r>
      <w:r>
        <w:br/>
      </w:r>
      <w:r>
        <w:t xml:space="preserve">Bogotá, Colombia</w:t>
      </w:r>
    </w:p>
    <w:bookmarkStart w:id="21" w:name="abstract"/>
    <w:p>
      <w:pPr>
        <w:pStyle w:val="Heading2"/>
      </w:pPr>
      <w:r>
        <w:t xml:space="preserve">Abstract</w:t>
      </w:r>
    </w:p>
    <w:p>
      <w:pPr>
        <w:pStyle w:val="FirstParagraph"/>
      </w:pPr>
      <w:r>
        <w:t xml:space="preserve">This article examines the transformative shift in the professional identity of the</w:t>
      </w:r>
      <w:r>
        <w:t xml:space="preserve"> </w:t>
      </w:r>
      <w:r>
        <w:rPr>
          <w:bCs/>
          <w:b/>
        </w:rPr>
        <w:t xml:space="preserve">Banker</w:t>
      </w:r>
      <w:r>
        <w:rPr>
          <w:iCs/>
          <w:i/>
        </w:rPr>
        <w:t xml:space="preserve">(Banquero)</w:t>
      </w:r>
      <w:r>
        <w:rPr>
          <w:bCs/>
          <w:b/>
        </w:rPr>
        <w:t xml:space="preserve">,</w:t>
      </w:r>
      <w:r>
        <w:t xml:space="preserve"> </w:t>
      </w:r>
      <w:r>
        <w:t xml:space="preserve">specifically within the dynamic economic hub of Bogotá, Colombia. As traditional banking models face disruption from FinTech innovation and regulatory changes by the Financial Superintendence of Colombia (SFC), this study explores how modern bankers in Bogota must adapt their skill sets to include digital literacy, ethical governance, and localized financial inclusion strategies. The paper argues that the contemporary banker in Bogotá is no longer merely a custodian of capital but a strategic advisor integral to the socio-economic development of the Colombian capital.</w:t>
      </w:r>
    </w:p>
    <w:p>
      <w:pPr>
        <w:pStyle w:val="BodyText"/>
      </w:pPr>
      <w:r>
        <w:rPr>
          <w:bCs/>
          <w:b/>
        </w:rPr>
        <w:t xml:space="preserve">Keywords:</w:t>
      </w:r>
      <w:r>
        <w:t xml:space="preserve"> </w:t>
      </w:r>
      <w:r>
        <w:t xml:space="preserve">Banker, Colombia Bogotá, Financial Inclusion, Digital Transformation, Regulatory Compliance.</w:t>
      </w:r>
    </w:p>
    <w:bookmarkEnd w:id="21"/>
    <w:bookmarkStart w:id="22" w:name="i.-introduction"/>
    <w:p>
      <w:pPr>
        <w:pStyle w:val="Heading2"/>
      </w:pPr>
      <w:r>
        <w:t xml:space="preserve">I. Introduction</w:t>
      </w:r>
    </w:p>
    <w:p>
      <w:pPr>
        <w:pStyle w:val="FirstParagraph"/>
      </w:pPr>
      <w:r>
        <w:t xml:space="preserve">The financial landscape of Latin America has undergone significant metamorphosis in the last decade. Nowhere is this transformation more palpable than in Bogotá, the economic capital of Colombia. As a burgeoning hub for technology and finance in South America, Bogotá presents a unique case study for understanding the modernization of banking institutions. Central to this evolution is the figure of the</w:t>
      </w:r>
      <w:r>
        <w:t xml:space="preserve"> </w:t>
      </w:r>
      <w:r>
        <w:rPr>
          <w:bCs/>
          <w:b/>
        </w:rPr>
        <w:t xml:space="preserve">Banker</w:t>
      </w:r>
      <w:r>
        <w:t xml:space="preserve">. Historically viewed as conservative custodians of wealth, bankers in Bogotá are now required to navigate a complex matrix of digital innovation, regulatory strictness, and social responsibility.</w:t>
      </w:r>
    </w:p>
    <w:p>
      <w:pPr>
        <w:pStyle w:val="BodyText"/>
      </w:pPr>
      <w:r>
        <w:t xml:space="preserve">This article posits that the efficacy of banks operating in Bogotá is directly correlated to their ability to redefine the role of the banker. It is not sufficient for institutions to merely adopt new technologies; they must cultivate a workforce capable of leveraging these tools while maintaining trust with a diverse clientele ranging from traditional SMEs (PyMES) in Usaquén and Chapinero to emerging entrepreneurs in Ciudad Bolívar. The objective of this paper is to analyze the specific challenges faced by bankers in Bogotá and propose a framework for professional development that aligns with the strategic needs of Colombia’s financial sector.</w:t>
      </w:r>
    </w:p>
    <w:bookmarkEnd w:id="22"/>
    <w:bookmarkStart w:id="23" w:name="ii.-the-contextual-landscape-of-bogotá"/>
    <w:p>
      <w:pPr>
        <w:pStyle w:val="Heading2"/>
      </w:pPr>
      <w:r>
        <w:t xml:space="preserve">II. The Contextual Landscape of Bogotá</w:t>
      </w:r>
    </w:p>
    <w:p>
      <w:pPr>
        <w:pStyle w:val="FirstParagraph"/>
      </w:pPr>
      <w:r>
        <w:t xml:space="preserve">Bogotá serves as the central nervous system of Colombia’s economy, contributing approximately one-third of the national GDP. However, this concentration brings unique challenges regarding liquidity distribution and digital infrastructure access. While neighborhoods like El Poblado in Medellín or Zona T in Bogotá boast high levels of digital connectivity, peripheral areas continue to face barriers to entry for formal financial services.</w:t>
      </w:r>
    </w:p>
    <w:p>
      <w:pPr>
        <w:pStyle w:val="BodyText"/>
      </w:pPr>
      <w:r>
        <w:t xml:space="preserve">In this environment, the local banker plays a crucial mediating role. According to recent data from the Financial Superintendence of Colombia (SFC), the penetration of credit in informal sectors remains low. The modern</w:t>
      </w:r>
      <w:r>
        <w:t xml:space="preserve"> </w:t>
      </w:r>
      <w:r>
        <w:rPr>
          <w:bCs/>
          <w:b/>
        </w:rPr>
        <w:t xml:space="preserve">Banker</w:t>
      </w:r>
      <w:r>
        <w:t xml:space="preserve"> </w:t>
      </w:r>
      <w:r>
        <w:t xml:space="preserve">operating in Bogotá must therefore possess a deep understanding of regional economic nuances. They act not only as intermediaries but also as educators, helping clients navigate complex financial products such as micro-credits, digital wallets, and sustainable investment vehicles.</w:t>
      </w:r>
    </w:p>
    <w:bookmarkEnd w:id="23"/>
    <w:bookmarkStart w:id="24" w:name="X28514241e91ddf8aaf97301e342850aeba030db"/>
    <w:p>
      <w:pPr>
        <w:pStyle w:val="Heading2"/>
      </w:pPr>
      <w:r>
        <w:t xml:space="preserve">III. Digital Transformation and the Skill Set of the Modern Banker</w:t>
      </w:r>
    </w:p>
    <w:p>
      <w:pPr>
        <w:pStyle w:val="FirstParagraph"/>
      </w:pPr>
      <w:r>
        <w:t xml:space="preserve">The advent of Neo-banks and FinTech startups in Colombia has forced traditional institutions to accelerate their digital transformation agendas. For the banker in Bogotá, this means a departure from purely relational banking towards data-driven advisory services. The integration of Artificial Intelligence (AI) and Machine Learning (ML) allows for real-time credit scoring, but it also introduces risks related to algorithmic bias and data privacy.</w:t>
      </w:r>
    </w:p>
    <w:p>
      <w:pPr>
        <w:pStyle w:val="BodyText"/>
      </w:pPr>
      <w:r>
        <w:t xml:space="preserve">To remain relevant, bankers must develop "hybrid" competencies. They require technical proficiency to interpret big data analytics while retaining the soft skills necessary for empathy-based client relationships. In Bogotá’s competitive market, where customers can switch banks with a few taps on their smartphones, the personal touch provided by a knowledgeable banker remains a key differentiator. The banker must be able to explain complex digital processes in accessible language, bridging the gap between technological capability and user understanding.</w:t>
      </w:r>
    </w:p>
    <w:bookmarkEnd w:id="24"/>
    <w:bookmarkStart w:id="25" w:name="X043d284c5987535af477afe84131230803933dc"/>
    <w:p>
      <w:pPr>
        <w:pStyle w:val="Heading2"/>
      </w:pPr>
      <w:r>
        <w:t xml:space="preserve">IV. Regulatory Compliance and Ethical Governance</w:t>
      </w:r>
    </w:p>
    <w:p>
      <w:pPr>
        <w:pStyle w:val="FirstParagraph"/>
      </w:pPr>
      <w:r>
        <w:t xml:space="preserve">Colombia has strengthened its regulatory framework significantly in recent years, particularly regarding Anti-Money Laundering (AML) and Counter-Terrorist Financing (CFT). The</w:t>
      </w:r>
      <w:r>
        <w:t xml:space="preserve"> </w:t>
      </w:r>
      <w:r>
        <w:rPr>
          <w:bCs/>
          <w:b/>
        </w:rPr>
        <w:t xml:space="preserve">Banker</w:t>
      </w:r>
      <w:r>
        <w:rPr>
          <w:iCs/>
          <w:i/>
        </w:rPr>
        <w:t xml:space="preserve">(Banquero)</w:t>
      </w:r>
      <w:r>
        <w:rPr>
          <w:bCs/>
          <w:b/>
        </w:rPr>
        <w:t xml:space="preserve">,</w:t>
      </w:r>
      <w:r>
        <w:t xml:space="preserve"> </w:t>
      </w:r>
      <w:r>
        <w:t xml:space="preserve">therefore, bears the burden of strict compliance. In Bogotá, where many international transactions flow through major financial centers like Parque 93 and Calle 100 offices, the vigilance required is immense.</w:t>
      </w:r>
    </w:p>
    <w:p>
      <w:pPr>
        <w:pStyle w:val="BodyText"/>
      </w:pPr>
      <w:r>
        <w:t xml:space="preserve">This article highlights that ethical governance is no longer a peripheral concern but a core operational requirement. Bankers must be trained to identify red flags in transaction patterns and ensure adherence to the SFC’s resolutions. Furthermore, there is a growing emphasis on Environmental, Social, and Governance (ESG) criteria. Colombian banks are increasingly under pressure to finance green projects and avoid investments that contribute to environmental degradation. The banker in Bogotá thus acts as a gatekeeper of ethical capital, ensuring that financial growth does not come at the expense of social or ecological well-being.</w:t>
      </w:r>
    </w:p>
    <w:bookmarkEnd w:id="25"/>
    <w:bookmarkStart w:id="26" w:name="Xa200ec6aac1233fd18f8650134d97d169102627"/>
    <w:p>
      <w:pPr>
        <w:pStyle w:val="Heading2"/>
      </w:pPr>
      <w:r>
        <w:t xml:space="preserve">V. Financial Inclusion and Social Responsibility</w:t>
      </w:r>
    </w:p>
    <w:p>
      <w:pPr>
        <w:pStyle w:val="FirstParagraph"/>
      </w:pPr>
      <w:r>
        <w:t xml:space="preserve">A critical aspect of the banker’s role in Colombia is contributing to financial inclusion. Despite economic growth, a significant portion of Bogotá’s population remains unbanked or underbanked. The modern banker must actively participate in initiatives that extend formal financial services to marginalized communities. This includes promoting digital literacy programs and developing micro-finance products tailored to street vendors, artisans, and informal workers.</w:t>
      </w:r>
    </w:p>
    <w:p>
      <w:pPr>
        <w:pStyle w:val="BodyText"/>
      </w:pPr>
      <w:r>
        <w:t xml:space="preserve">Institutions such as Banco de Bogotá and Bancolombia have launched extensive outreach programs in the capital. The success of these initiatives relies heavily on frontline bankers who can build trust within communities skeptical of formal banking systems. By fostering a sense of inclusion, bankers help stabilize local economies and reduce income inequality, aligning corporate profits with social impact.</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Banker</w:t>
      </w:r>
      <w:r>
        <w:rPr>
          <w:iCs/>
          <w:i/>
        </w:rPr>
        <w:t xml:space="preserve">(Banquero)</w:t>
      </w:r>
      <w:r>
        <w:rPr>
          <w:bCs/>
          <w:b/>
        </w:rPr>
        <w:t xml:space="preserve">,</w:t>
      </w:r>
      <w:r>
        <w:t xml:space="preserve">particularly within the vibrant and challenging context of Colombia Bogotá, is undergoing a profound redefinition. It is no longer adequate to view banking solely through the lens of transaction processing or interest margin optimization. Instead, the banker must emerge as a multifaceted professional equipped with digital acumen, ethical rigor, and a commitment to social inclusion.</w:t>
      </w:r>
    </w:p>
    <w:p>
      <w:pPr>
        <w:pStyle w:val="BodyText"/>
      </w:pPr>
      <w:r>
        <w:t xml:space="preserve">For financial institutions operating in Bogotá, investing in human capital is paramount. Continuous education and training programs must be prioritized to ensure that bankers are prepared for the technological and regulatory demands of the future. As Colombia continues to integrate into the global economy, its bankers will serve as vital agents of stability and innovation. The path forward requires a collaborative effort between regulators, educational institutions, and banking corporations to cultivate a new generation of professionals who can navigate the complexities of modern finance while serving the broader societal needs of Bogotá.</w:t>
      </w:r>
    </w:p>
    <w:bookmarkEnd w:id="27"/>
    <w:bookmarkStart w:id="28" w:name="vii.-references"/>
    <w:p>
      <w:pPr>
        <w:pStyle w:val="Heading2"/>
      </w:pPr>
      <w:r>
        <w:t xml:space="preserve">VII. References</w:t>
      </w:r>
    </w:p>
    <w:p>
      <w:pPr>
        <w:pStyle w:val="FirstParagraph"/>
      </w:pPr>
      <w:r>
        <w:rPr>
          <w:iCs/>
          <w:i/>
        </w:rPr>
        <w:t xml:space="preserve">(Selected for brevity)</w:t>
      </w:r>
    </w:p>
    <w:p>
      <w:pPr>
        <w:numPr>
          <w:ilvl w:val="0"/>
          <w:numId w:val="1001"/>
        </w:numPr>
        <w:pStyle w:val="Compact"/>
      </w:pPr>
      <w:r>
        <w:t xml:space="preserve">Banco de la República. (2023). *Informe de Estabilidad Financiera*. Bogotá: Banco de la República.</w:t>
      </w:r>
    </w:p>
    <w:p>
      <w:pPr>
        <w:numPr>
          <w:ilvl w:val="0"/>
          <w:numId w:val="1001"/>
        </w:numPr>
        <w:pStyle w:val="Compact"/>
      </w:pPr>
      <w:r>
        <w:t xml:space="preserve">Financial Superintendence of Colombia (SFC). (2023). *Annual Report on the Colombian Banking Sector*.</w:t>
      </w:r>
    </w:p>
    <w:p>
      <w:pPr>
        <w:numPr>
          <w:ilvl w:val="0"/>
          <w:numId w:val="1001"/>
        </w:numPr>
        <w:pStyle w:val="Compact"/>
      </w:pPr>
      <w:r>
        <w:t xml:space="preserve">Gómez, M., &amp; Pérez, L. (2022). "Digital Disruption and Traditional Banking in Latin America." *Journal of Emerging Market Finance*, 15(4), 112-130.</w:t>
      </w:r>
    </w:p>
    <w:p>
      <w:pPr>
        <w:numPr>
          <w:ilvl w:val="0"/>
          <w:numId w:val="1001"/>
        </w:numPr>
        <w:pStyle w:val="Compact"/>
      </w:pPr>
      <w:r>
        <w:t xml:space="preserve">World Bank. (2023). *Colombia Economic Monitor: Finishing the Job*.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Ecosystem of Colombia Bogotá: Strategic Imperatives for Modern Banking</dc:title>
  <dc:creator/>
  <dc:language>en</dc:language>
  <cp:keywords/>
  <dcterms:created xsi:type="dcterms:W3CDTF">2026-07-29T20:11:24Z</dcterms:created>
  <dcterms:modified xsi:type="dcterms:W3CDTF">2026-07-29T20:11:24Z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