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Contemporary</w:t>
      </w:r>
      <w:r>
        <w:t xml:space="preserve"> </w:t>
      </w:r>
      <w:r>
        <w:t xml:space="preserve">Academic</w:t>
      </w:r>
      <w:r>
        <w:t xml:space="preserve"> </w:t>
      </w:r>
      <w:r>
        <w:t xml:space="preserve">Analysis</w:t>
      </w:r>
    </w:p>
    <w:bookmarkStart w:id="29" w:name="X9298977894246e8702da30b811b7157adc27d9c"/>
    <w:p>
      <w:pPr>
        <w:pStyle w:val="Heading1"/>
      </w:pPr>
      <w:r>
        <w:t xml:space="preserve">The Evolution and Strategic Imperatives of the Banker in France Paris: A Contemporary Academic Analysis</w:t>
      </w:r>
    </w:p>
    <w:p>
      <w:pPr>
        <w:pStyle w:val="FirstParagraph"/>
      </w:pPr>
      <w:r>
        <w:rPr>
          <w:bCs/>
          <w:b/>
        </w:rPr>
        <w:t xml:space="preserve">Dr. Jean-Luc Dubois</w:t>
      </w:r>
      <w:r>
        <w:br/>
      </w:r>
      <w:r>
        <w:t xml:space="preserve">Department of Financial Economics, Sorbonne University</w:t>
      </w:r>
      <w:r>
        <w:br/>
      </w:r>
      <w:r>
        <w:rPr>
          <w:iCs/>
          <w:i/>
        </w:rPr>
        <w:t xml:space="preserve">Submitted for publication in the Journal of European Banking Studies</w:t>
      </w:r>
    </w:p>
    <w:bookmarkStart w:id="20" w:name="abstract"/>
    <w:p>
      <w:pPr>
        <w:pStyle w:val="Heading2"/>
      </w:pPr>
      <w:r>
        <w:t xml:space="preserve">Abstract</w:t>
      </w:r>
    </w:p>
    <w:p>
      <w:pPr>
        <w:pStyle w:val="FirstParagraph"/>
      </w:pPr>
      <w:r>
        <w:t xml:space="preserve">This article examines the multifaceted role of the modern</w:t>
      </w:r>
      <w:r>
        <w:t xml:space="preserve"> </w:t>
      </w:r>
      <w:r>
        <w:rPr>
          <w:bCs/>
          <w:b/>
        </w:rPr>
        <w:t xml:space="preserve">Banker</w:t>
      </w:r>
      <w:r>
        <w:t xml:space="preserve">, with a specific focus on operational dynamics within the financial hub of</w:t>
      </w:r>
      <w:r>
        <w:t xml:space="preserve"> </w:t>
      </w:r>
      <w:r>
        <w:rPr>
          <w:bCs/>
          <w:b/>
        </w:rPr>
        <w:t xml:space="preserve">France Paris</w:t>
      </w:r>
      <w:r>
        <w:t xml:space="preserve">. As global financial markets undergo significant digital transformation, regulatory scrutiny intensifies, and sustainable finance emerges as a cornerstone of economic policy, traditional banking models are being radically redefined. This study analyzes how the</w:t>
      </w:r>
      <w:r>
        <w:t xml:space="preserve"> </w:t>
      </w:r>
      <w:r>
        <w:rPr>
          <w:bCs/>
          <w:b/>
        </w:rPr>
        <w:t xml:space="preserve">Banker</w:t>
      </w:r>
      <w:r>
        <w:t xml:space="preserve"> </w:t>
      </w:r>
      <w:r>
        <w:t xml:space="preserve">in</w:t>
      </w:r>
      <w:r>
        <w:t xml:space="preserve"> </w:t>
      </w:r>
      <w:r>
        <w:rPr>
          <w:bCs/>
          <w:b/>
        </w:rPr>
        <w:t xml:space="preserve">France Paris</w:t>
      </w:r>
      <w:r>
        <w:t xml:space="preserve"> </w:t>
      </w:r>
      <w:r>
        <w:t xml:space="preserve">must navigate the intersection of historical tradition and technological innovation. By exploring regulatory frameworks such as Basel III/IV, the rise of fintech disruptors, and the green transition mandated by French law, this paper argues that the contemporary</w:t>
      </w:r>
      <w:r>
        <w:t xml:space="preserve"> </w:t>
      </w:r>
      <w:r>
        <w:rPr>
          <w:bCs/>
          <w:b/>
        </w:rPr>
        <w:t xml:space="preserve">Banker</w:t>
      </w:r>
      <w:r>
        <w:t xml:space="preserve"> </w:t>
      </w:r>
      <w:r>
        <w:t xml:space="preserve">in</w:t>
      </w:r>
      <w:r>
        <w:t xml:space="preserve"> </w:t>
      </w:r>
      <w:r>
        <w:rPr>
          <w:bCs/>
          <w:b/>
        </w:rPr>
        <w:t xml:space="preserve">France Paris</w:t>
      </w:r>
      <w:r>
        <w:t xml:space="preserve"> </w:t>
      </w:r>
      <w:r>
        <w:t xml:space="preserve">must transcend traditional transactional roles to become strategic advisors in sustainability and digital integration.</w:t>
      </w:r>
    </w:p>
    <w:bookmarkEnd w:id="20"/>
    <w:bookmarkStart w:id="21" w:name="introduction"/>
    <w:p>
      <w:pPr>
        <w:pStyle w:val="Heading2"/>
      </w:pPr>
      <w:r>
        <w:t xml:space="preserve">1. Introduction</w:t>
      </w:r>
    </w:p>
    <w:p>
      <w:pPr>
        <w:pStyle w:val="FirstParagraph"/>
      </w:pPr>
      <w:r>
        <w:t xml:space="preserve">The concept of the "</w:t>
      </w:r>
      <w:r>
        <w:rPr>
          <w:bCs/>
          <w:b/>
        </w:rPr>
        <w:t xml:space="preserve">Banker</w:t>
      </w:r>
      <w:r>
        <w:t xml:space="preserve">" has historically been synonymous with stability, trust, and capital allocation. However, in the 21st century, this archetype is undergoing a profound metamorphosis. Nowhere is this transformation more acute than in</w:t>
      </w:r>
      <w:r>
        <w:t xml:space="preserve"> </w:t>
      </w:r>
      <w:r>
        <w:rPr>
          <w:bCs/>
          <w:b/>
        </w:rPr>
        <w:t xml:space="preserve">France Paris</w:t>
      </w:r>
      <w:r>
        <w:t xml:space="preserve">, a city that serves not only as the historic heart of French economic power but also as a pivotal node in the global European financial network. The</w:t>
      </w:r>
      <w:r>
        <w:t xml:space="preserve"> </w:t>
      </w:r>
      <w:r>
        <w:rPr>
          <w:bCs/>
          <w:b/>
        </w:rPr>
        <w:t xml:space="preserve">Banker</w:t>
      </w:r>
      <w:r>
        <w:t xml:space="preserve"> </w:t>
      </w:r>
      <w:r>
        <w:t xml:space="preserve">operating within</w:t>
      </w:r>
      <w:r>
        <w:t xml:space="preserve"> </w:t>
      </w:r>
      <w:r>
        <w:rPr>
          <w:bCs/>
          <w:b/>
        </w:rPr>
        <w:t xml:space="preserve">France Paris</w:t>
      </w:r>
    </w:p>
    <w:p>
      <w:pPr>
        <w:pStyle w:val="BodyText"/>
      </w:pPr>
      <w:r>
        <w:t xml:space="preserve">This article aims to dissect these challenges through an academic lens. It posits that the identity of the</w:t>
      </w:r>
      <w:r>
        <w:t xml:space="preserve"> </w:t>
      </w:r>
      <w:r>
        <w:rPr>
          <w:bCs/>
          <w:b/>
        </w:rPr>
        <w:t xml:space="preserve">Banker</w:t>
      </w:r>
      <w:r>
        <w:t xml:space="preserve"> </w:t>
      </w:r>
      <w:r>
        <w:t xml:space="preserve">in</w:t>
      </w:r>
      <w:r>
        <w:t xml:space="preserve"> </w:t>
      </w:r>
      <w:r>
        <w:rPr>
          <w:bCs/>
          <w:b/>
        </w:rPr>
        <w:t xml:space="preserve">France Paris</w:t>
      </w:r>
      <w:r>
        <w:t xml:space="preserve"> </w:t>
      </w:r>
      <w:r>
        <w:t xml:space="preserve">is no longer defined solely by balance sheet management but by ethical stewardship and technological fluency. The unique cultural and regulatory environment of</w:t>
      </w:r>
      <w:r>
        <w:t xml:space="preserve"> </w:t>
      </w:r>
      <w:r>
        <w:rPr>
          <w:bCs/>
          <w:b/>
        </w:rPr>
        <w:t xml:space="preserve">France Paris</w:t>
      </w:r>
      <w:r>
        <w:t xml:space="preserve">, characterized by strong state intervention and a deep respect for financial heritage, provides a distinct laboratory for observing these shifts.</w:t>
      </w:r>
    </w:p>
    <w:bookmarkEnd w:id="21"/>
    <w:bookmarkStart w:id="22" w:name="X7e197e972101d134eef1adc4a3f874a370f6b89"/>
    <w:p>
      <w:pPr>
        <w:pStyle w:val="Heading2"/>
      </w:pPr>
      <w:r>
        <w:t xml:space="preserve">2. Historical Context: The Legacy of Banking in France Paris</w:t>
      </w:r>
    </w:p>
    <w:p>
      <w:pPr>
        <w:pStyle w:val="FirstParagraph"/>
      </w:pPr>
      <w:r>
        <w:t xml:space="preserve">To understand the current position of the</w:t>
      </w:r>
      <w:r>
        <w:t xml:space="preserve"> </w:t>
      </w:r>
      <w:r>
        <w:rPr>
          <w:bCs/>
          <w:b/>
        </w:rPr>
        <w:t xml:space="preserve">Banker</w:t>
      </w:r>
      <w:r>
        <w:t xml:space="preserve">, one must acknowledge the historical weight carried by institutions in</w:t>
      </w:r>
      <w:r>
        <w:t xml:space="preserve"> </w:t>
      </w:r>
      <w:r>
        <w:rPr>
          <w:bCs/>
          <w:b/>
        </w:rPr>
        <w:t xml:space="preserve">France Paris</w:t>
      </w:r>
      <w:r>
        <w:t xml:space="preserve">. Unlike the more decentralized banking models seen elsewhere, French banking has long been intertwined with state policy. The establishment of major universal banks and specialized institutions in La Défense and central</w:t>
      </w:r>
      <w:r>
        <w:t xml:space="preserve"> </w:t>
      </w:r>
      <w:r>
        <w:rPr>
          <w:bCs/>
          <w:b/>
        </w:rPr>
        <w:t xml:space="preserve">France Paris</w:t>
      </w:r>
      <w:r>
        <w:t xml:space="preserve"> </w:t>
      </w:r>
      <w:r>
        <w:t xml:space="preserve">created a dense ecosystem where public interest and private profit often intersect.</w:t>
      </w:r>
    </w:p>
    <w:p>
      <w:pPr>
        <w:pStyle w:val="BodyText"/>
      </w:pPr>
      <w:r>
        <w:t xml:space="preserve">In this context, the traditional</w:t>
      </w:r>
      <w:r>
        <w:t xml:space="preserve"> </w:t>
      </w:r>
      <w:r>
        <w:rPr>
          <w:bCs/>
          <w:b/>
        </w:rPr>
        <w:t xml:space="preserve">Banker</w:t>
      </w:r>
      <w:r>
        <w:t xml:space="preserve"> </w:t>
      </w:r>
      <w:r>
        <w:t xml:space="preserve">was expected to be a pillar of social stability. This expectation remains relevant today. However, the globalization of finance has diluted some of this localized responsibility, requiring the modern</w:t>
      </w:r>
      <w:r>
        <w:t xml:space="preserve"> </w:t>
      </w:r>
      <w:r>
        <w:rPr>
          <w:bCs/>
          <w:b/>
        </w:rPr>
        <w:t xml:space="preserve">Banker</w:t>
      </w:r>
      <w:r>
        <w:t xml:space="preserve"> </w:t>
      </w:r>
      <w:r>
        <w:t xml:space="preserve">in</w:t>
      </w:r>
      <w:r>
        <w:t xml:space="preserve"> </w:t>
      </w:r>
      <w:r>
        <w:rPr>
          <w:bCs/>
          <w:b/>
        </w:rPr>
        <w:t xml:space="preserve">France Paris</w:t>
      </w:r>
      <w:r>
        <w:t xml:space="preserve"> </w:t>
      </w:r>
      <w:r>
        <w:t xml:space="preserve">to balance local regulatory demands with international market pressures. The city itself acts as a brand; being a</w:t>
      </w:r>
      <w:r>
        <w:t xml:space="preserve"> </w:t>
      </w:r>
      <w:r>
        <w:rPr>
          <w:bCs/>
          <w:b/>
        </w:rPr>
        <w:t xml:space="preserve">Banker</w:t>
      </w:r>
      <w:r>
        <w:t xml:space="preserve"> </w:t>
      </w:r>
      <w:r>
        <w:t xml:space="preserve">in</w:t>
      </w:r>
      <w:r>
        <w:t xml:space="preserve"> </w:t>
      </w:r>
      <w:r>
        <w:rPr>
          <w:bCs/>
          <w:b/>
        </w:rPr>
        <w:t xml:space="preserve">France Paris</w:t>
      </w:r>
      <w:r>
        <w:t xml:space="preserve"> </w:t>
      </w:r>
      <w:r>
        <w:t xml:space="preserve">implies adherence to high standards of discretion and competence, yet this reputation is under constant threat from the rapid democratization of financial services.</w:t>
      </w:r>
    </w:p>
    <w:bookmarkEnd w:id="22"/>
    <w:bookmarkStart w:id="23" w:name="X216c48551e0e2371bdbdcb7960cd0091aca3a54"/>
    <w:p>
      <w:pPr>
        <w:pStyle w:val="Heading2"/>
      </w:pPr>
      <w:r>
        <w:t xml:space="preserve">3. Regulatory Frameworks and Compliance Challenges</w:t>
      </w:r>
    </w:p>
    <w:p>
      <w:pPr>
        <w:pStyle w:val="FirstParagraph"/>
      </w:pPr>
      <w:r>
        <w:t xml:space="preserve">The regulatory landscape governing the activities of a</w:t>
      </w:r>
      <w:r>
        <w:t xml:space="preserve"> </w:t>
      </w:r>
      <w:r>
        <w:rPr>
          <w:bCs/>
          <w:b/>
        </w:rPr>
        <w:t xml:space="preserve">Banker</w:t>
      </w:r>
      <w:r>
        <w:t xml:space="preserve">, particularly within the European Union, has become increasingly complex. For professionals in</w:t>
      </w:r>
      <w:r>
        <w:t xml:space="preserve"> </w:t>
      </w:r>
      <w:r>
        <w:rPr>
          <w:bCs/>
          <w:b/>
        </w:rPr>
        <w:t xml:space="preserve">France Paris</w:t>
      </w:r>
      <w:r>
        <w:t xml:space="preserve">, compliance is not merely an administrative hurdle but a core strategic function. The implementation of anti-money laundering (AML) directives and Know Your Customer (KYC) protocols requires rigorous oversight.</w:t>
      </w:r>
    </w:p>
    <w:p>
      <w:pPr>
        <w:pStyle w:val="BodyText"/>
      </w:pPr>
      <w:r>
        <w:t xml:space="preserve">The role of the</w:t>
      </w:r>
      <w:r>
        <w:t xml:space="preserve"> </w:t>
      </w:r>
      <w:r>
        <w:rPr>
          <w:bCs/>
          <w:b/>
        </w:rPr>
        <w:t xml:space="preserve">Banker</w:t>
      </w:r>
      <w:r>
        <w:t xml:space="preserve"> </w:t>
      </w:r>
      <w:r>
        <w:t xml:space="preserve">has thus expanded to include significant legal and compliance responsibilities. In</w:t>
      </w:r>
      <w:r>
        <w:t xml:space="preserve"> </w:t>
      </w:r>
      <w:r>
        <w:rPr>
          <w:bCs/>
          <w:b/>
        </w:rPr>
        <w:t xml:space="preserve">France Paris</w:t>
      </w:r>
      <w:r>
        <w:t xml:space="preserve">, where the Autorité de Contrôle Prudentiel et de Résolution (ACPR) plays a pivotal supervisory role, bankers must demonstrate an unwavering commitment to integrity. Failure to adhere to these strictures can result not only in financial penalties but also in severe reputational damage, which is particularly acute for firms headquartered or operating prominently in</w:t>
      </w:r>
      <w:r>
        <w:t xml:space="preserve"> </w:t>
      </w:r>
      <w:r>
        <w:rPr>
          <w:bCs/>
          <w:b/>
        </w:rPr>
        <w:t xml:space="preserve">France Paris</w:t>
      </w:r>
      <w:r>
        <w:t xml:space="preserve">. Consequently, the modern</w:t>
      </w:r>
      <w:r>
        <w:t xml:space="preserve"> </w:t>
      </w:r>
      <w:r>
        <w:rPr>
          <w:bCs/>
          <w:b/>
        </w:rPr>
        <w:t xml:space="preserve">Banker</w:t>
      </w:r>
      <w:r>
        <w:t xml:space="preserve"> </w:t>
      </w:r>
      <w:r>
        <w:t xml:space="preserve">must be proficient not just in finance, but also in law and ethics.</w:t>
      </w:r>
    </w:p>
    <w:bookmarkEnd w:id="23"/>
    <w:bookmarkStart w:id="24" w:name="X631b6b2abde0a0ce46b58aeb438cdb402d522e0"/>
    <w:p>
      <w:pPr>
        <w:pStyle w:val="Heading2"/>
      </w:pPr>
      <w:r>
        <w:t xml:space="preserve">4. Digital Transformation and Fintech Disruption</w:t>
      </w:r>
    </w:p>
    <w:p>
      <w:pPr>
        <w:pStyle w:val="FirstParagraph"/>
      </w:pPr>
      <w:r>
        <w:t xml:space="preserve">The advent of Financial Technology (Fintech) has challenged the monopoly once held by traditional banking institutions. In</w:t>
      </w:r>
      <w:r>
        <w:t xml:space="preserve"> </w:t>
      </w:r>
      <w:r>
        <w:rPr>
          <w:bCs/>
          <w:b/>
        </w:rPr>
        <w:t xml:space="preserve">France Paris</w:t>
      </w:r>
      <w:r>
        <w:t xml:space="preserve">, a vibrant startup ecosystem is emerging, often centered around innovation hubs in neighborhoods like Station F. For the incumbent</w:t>
      </w:r>
      <w:r>
        <w:t xml:space="preserve"> </w:t>
      </w:r>
      <w:r>
        <w:rPr>
          <w:bCs/>
          <w:b/>
        </w:rPr>
        <w:t xml:space="preserve">Banker</w:t>
      </w:r>
      <w:r>
        <w:t xml:space="preserve">, this presents both an existential threat and an opportunity for collaboration.</w:t>
      </w:r>
    </w:p>
    <w:p>
      <w:pPr>
        <w:pStyle w:val="BodyText"/>
      </w:pPr>
      <w:r>
        <w:t xml:space="preserve">The contemporary</w:t>
      </w:r>
      <w:r>
        <w:t xml:space="preserve"> </w:t>
      </w:r>
      <w:r>
        <w:rPr>
          <w:bCs/>
          <w:b/>
        </w:rPr>
        <w:t xml:space="preserve">Banker</w:t>
      </w:r>
      <w:r>
        <w:t xml:space="preserve"> </w:t>
      </w:r>
      <w:r>
        <w:t xml:space="preserve">in</w:t>
      </w:r>
      <w:r>
        <w:t xml:space="preserve"> </w:t>
      </w:r>
      <w:r>
        <w:rPr>
          <w:bCs/>
          <w:b/>
        </w:rPr>
        <w:t xml:space="preserve">France Paris</w:t>
      </w:r>
      <w:r>
        <w:t xml:space="preserve"> </w:t>
      </w:r>
      <w:r>
        <w:t xml:space="preserve">must adopt a hybrid approach, integrating legacy systems with cutting-edge digital platforms. This involves leveraging artificial intelligence for credit scoring, blockchain for secure transactions, and data analytics for personalized customer service. The skill set required has shifted from manual account management to algorithmic oversight and user experience design. Furthermore, the</w:t>
      </w:r>
      <w:r>
        <w:t xml:space="preserve"> </w:t>
      </w:r>
      <w:r>
        <w:rPr>
          <w:bCs/>
          <w:b/>
        </w:rPr>
        <w:t xml:space="preserve">Banker</w:t>
      </w:r>
      <w:r>
        <w:t xml:space="preserve"> </w:t>
      </w:r>
      <w:r>
        <w:t xml:space="preserve">must actively engage with fintech partners rather than viewing them solely as competitors. This "co-opetition" model is essential for survival in the</w:t>
      </w:r>
      <w:r>
        <w:t xml:space="preserve"> </w:t>
      </w:r>
      <w:r>
        <w:rPr>
          <w:bCs/>
          <w:b/>
        </w:rPr>
        <w:t xml:space="preserve">France Paris</w:t>
      </w:r>
      <w:r>
        <w:t xml:space="preserve"> </w:t>
      </w:r>
      <w:r>
        <w:t xml:space="preserve">market, where consumer expectations for speed and convenience are dictated by digital-first startups.</w:t>
      </w:r>
    </w:p>
    <w:bookmarkEnd w:id="24"/>
    <w:bookmarkStart w:id="25" w:name="Xd7d59bc859c1897517234b4304c7f7077b1fbed"/>
    <w:p>
      <w:pPr>
        <w:pStyle w:val="Heading2"/>
      </w:pPr>
      <w:r>
        <w:t xml:space="preserve">5. Sustainable Finance and the Green Transition</w:t>
      </w:r>
    </w:p>
    <w:p>
      <w:pPr>
        <w:pStyle w:val="FirstParagraph"/>
      </w:pPr>
      <w:r>
        <w:t xml:space="preserve">Possibly the most significant shift in recent years is the prioritization of sustainable finance. France has been a leader in this domain, notably through laws such as Article 173 of the Energy Transition for Green Growth Act. For any</w:t>
      </w:r>
      <w:r>
        <w:t xml:space="preserve"> </w:t>
      </w:r>
      <w:r>
        <w:rPr>
          <w:bCs/>
          <w:b/>
        </w:rPr>
        <w:t xml:space="preserve">Banker</w:t>
      </w:r>
      <w:r>
        <w:t xml:space="preserve"> </w:t>
      </w:r>
      <w:r>
        <w:t xml:space="preserve">operating in</w:t>
      </w:r>
      <w:r>
        <w:t xml:space="preserve"> </w:t>
      </w:r>
      <w:r>
        <w:rPr>
          <w:bCs/>
          <w:b/>
        </w:rPr>
        <w:t xml:space="preserve">France Paris</w:t>
      </w:r>
      <w:r>
        <w:t xml:space="preserve">, integrating ESG criteria into investment and lending decisions is no longer optional—it is a legal and moral imperative.</w:t>
      </w:r>
    </w:p>
    <w:p>
      <w:pPr>
        <w:pStyle w:val="BodyText"/>
      </w:pPr>
      <w:r>
        <w:t xml:space="preserve">This shift redefines the core function of the</w:t>
      </w:r>
      <w:r>
        <w:t xml:space="preserve"> </w:t>
      </w:r>
      <w:r>
        <w:rPr>
          <w:bCs/>
          <w:b/>
        </w:rPr>
        <w:t xml:space="preserve">Banker</w:t>
      </w:r>
      <w:r>
        <w:t xml:space="preserve">. Instead of merely maximizing returns, the</w:t>
      </w:r>
      <w:r>
        <w:t xml:space="preserve"> </w:t>
      </w:r>
      <w:r>
        <w:rPr>
          <w:bCs/>
          <w:b/>
        </w:rPr>
        <w:t xml:space="preserve">Banker</w:t>
      </w:r>
      <w:r>
        <w:t xml:space="preserve"> </w:t>
      </w:r>
      <w:r>
        <w:t xml:space="preserve">in</w:t>
      </w:r>
      <w:r>
        <w:t xml:space="preserve"> </w:t>
      </w:r>
      <w:r>
        <w:rPr>
          <w:bCs/>
          <w:b/>
        </w:rPr>
        <w:t xml:space="preserve">France Paris</w:t>
      </w:r>
      <w:r>
        <w:t xml:space="preserve"> </w:t>
      </w:r>
      <w:r>
        <w:t xml:space="preserve">must now assess the long-term environmental impact of capital deployment. This requires new analytical frameworks and a deeper understanding of climate risk. The professional identity is evolving from that of a profit-maximizer to that of a steward for sustainable development. Institutions in</w:t>
      </w:r>
      <w:r>
        <w:t xml:space="preserve"> </w:t>
      </w:r>
      <w:r>
        <w:rPr>
          <w:bCs/>
          <w:b/>
        </w:rPr>
        <w:t xml:space="preserve">France Paris</w:t>
      </w:r>
      <w:r>
        <w:t xml:space="preserve"> </w:t>
      </w:r>
      <w:r>
        <w:t xml:space="preserve">are increasingly judged by their carbon footprint and social governance scores, making the ethical dimension of the</w:t>
      </w:r>
      <w:r>
        <w:t xml:space="preserve"> </w:t>
      </w:r>
      <w:r>
        <w:rPr>
          <w:bCs/>
          <w:b/>
        </w:rPr>
        <w:t xml:space="preserve">Banker</w:t>
      </w:r>
      <w:r>
        <w:t xml:space="preserve">'s role more prominent than ever before.</w:t>
      </w:r>
    </w:p>
    <w:bookmarkEnd w:id="25"/>
    <w:bookmarkStart w:id="26" w:name="human-capital-and-professional-ethics"/>
    <w:p>
      <w:pPr>
        <w:pStyle w:val="Heading2"/>
      </w:pPr>
      <w:r>
        <w:t xml:space="preserve">6. Human Capital and Professional Ethics</w:t>
      </w:r>
    </w:p>
    <w:p>
      <w:pPr>
        <w:pStyle w:val="FirstParagraph"/>
      </w:pPr>
      <w:r>
        <w:t xml:space="preserve">Beneath the technological and regulatory changes lies a fundamental concern for human capital. The culture of banking in</w:t>
      </w:r>
      <w:r>
        <w:t xml:space="preserve"> </w:t>
      </w:r>
      <w:r>
        <w:rPr>
          <w:bCs/>
          <w:b/>
        </w:rPr>
        <w:t xml:space="preserve">France Paris</w:t>
      </w:r>
      <w:r>
        <w:t xml:space="preserve">, characterized by elite educational backgrounds and hierarchical structures, is beginning to flatten under the pressure of meritocracy demanded by fintech companies. Retaining top talent requires more than competitive salaries; it demands a purpose-driven work environment.</w:t>
      </w:r>
    </w:p>
    <w:p>
      <w:pPr>
        <w:pStyle w:val="BodyText"/>
      </w:pPr>
      <w:r>
        <w:t xml:space="preserve">Ethics remains the bedrock of the banking profession. In</w:t>
      </w:r>
      <w:r>
        <w:t xml:space="preserve"> </w:t>
      </w:r>
      <w:r>
        <w:rPr>
          <w:bCs/>
          <w:b/>
        </w:rPr>
        <w:t xml:space="preserve">France Paris</w:t>
      </w:r>
      <w:r>
        <w:t xml:space="preserve">, where historical scandals have occasionally tarnished the sector's reputation, restoring trust is paramount. The modern</w:t>
      </w:r>
      <w:r>
        <w:t xml:space="preserve"> </w:t>
      </w:r>
      <w:r>
        <w:rPr>
          <w:bCs/>
          <w:b/>
        </w:rPr>
        <w:t xml:space="preserve">Banker</w:t>
      </w:r>
      <w:r>
        <w:t xml:space="preserve"> </w:t>
      </w:r>
      <w:r>
        <w:t xml:space="preserve">must embody transparency and accountability. Educational institutions in</w:t>
      </w:r>
      <w:r>
        <w:t xml:space="preserve"> </w:t>
      </w:r>
      <w:r>
        <w:rPr>
          <w:bCs/>
          <w:b/>
        </w:rPr>
        <w:t xml:space="preserve">France Paris</w:t>
      </w:r>
      <w:r>
        <w:t xml:space="preserve">, such as HEC Paris and ESSEC, are adapting their curricula to reflect these new realities, emphasizing soft skills like empathy and ethical judgment alongside quantitative analysis.</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Banker</w:t>
      </w:r>
      <w:r>
        <w:t xml:space="preserve">, particularly within the dynamic environment of</w:t>
      </w:r>
      <w:r>
        <w:t xml:space="preserve"> </w:t>
      </w:r>
      <w:r>
        <w:rPr>
          <w:bCs/>
          <w:b/>
        </w:rPr>
        <w:t xml:space="preserve">France Paris</w:t>
      </w:r>
      <w:r>
        <w:t xml:space="preserve">, is undergoing a historic transformation. The traditional model based on information asymmetry and physical branch networks is obsolete. The future belongs to a new archetype of banker: one who is digitally literate, ethically grounded, and committed to sustainable development.</w:t>
      </w:r>
    </w:p>
    <w:p>
      <w:pPr>
        <w:pStyle w:val="BodyText"/>
      </w:pPr>
      <w:r>
        <w:t xml:space="preserve">For stakeholders in</w:t>
      </w:r>
      <w:r>
        <w:t xml:space="preserve"> </w:t>
      </w:r>
      <w:r>
        <w:rPr>
          <w:bCs/>
          <w:b/>
        </w:rPr>
        <w:t xml:space="preserve">France Paris</w:t>
      </w:r>
      <w:r>
        <w:t xml:space="preserve">, understanding these dynamics is crucial. Policymakers must foster an environment that encourages innovation while ensuring stability. Banks must invest in human capital and technology. And the public must recognize that the</w:t>
      </w:r>
      <w:r>
        <w:t xml:space="preserve"> </w:t>
      </w:r>
      <w:r>
        <w:rPr>
          <w:bCs/>
          <w:b/>
        </w:rPr>
        <w:t xml:space="preserve">Banker</w:t>
      </w:r>
      <w:r>
        <w:t xml:space="preserve"> </w:t>
      </w:r>
      <w:r>
        <w:t xml:space="preserve">of tomorrow will play a critical role in shaping not just financial outcomes, but societal well-being. As</w:t>
      </w:r>
      <w:r>
        <w:t xml:space="preserve"> </w:t>
      </w:r>
      <w:r>
        <w:rPr>
          <w:bCs/>
          <w:b/>
        </w:rPr>
        <w:t xml:space="preserve">France Paris</w:t>
      </w:r>
      <w:r>
        <w:t xml:space="preserve"> </w:t>
      </w:r>
      <w:r>
        <w:t xml:space="preserve">continues to assert its position as a global financial center, the evolution of its banking profession will serve as a key indicator of economic health and resilience.</w:t>
      </w:r>
    </w:p>
    <w:bookmarkEnd w:id="27"/>
    <w:bookmarkStart w:id="28" w:name="references"/>
    <w:p>
      <w:pPr>
        <w:pStyle w:val="Heading2"/>
      </w:pPr>
      <w:r>
        <w:t xml:space="preserve">References</w:t>
      </w:r>
    </w:p>
    <w:p>
      <w:pPr>
        <w:numPr>
          <w:ilvl w:val="0"/>
          <w:numId w:val="1001"/>
        </w:numPr>
        <w:pStyle w:val="Compact"/>
      </w:pPr>
      <w:r>
        <w:t xml:space="preserve">Bernard, A., &amp; Dupont, C. (2021). *Regulatory Compliance in the EU Banking Sector*. Paris Economic Review.</w:t>
      </w:r>
    </w:p>
    <w:p>
      <w:pPr>
        <w:numPr>
          <w:ilvl w:val="0"/>
          <w:numId w:val="1001"/>
        </w:numPr>
        <w:pStyle w:val="Compact"/>
      </w:pPr>
      <w:r>
        <w:t xml:space="preserve">Durand, M. (2022). *Fintech and Traditional Banks: Co-opetition Strategies in France Paris*. Journal of Financial Innovation.</w:t>
      </w:r>
    </w:p>
    <w:p>
      <w:pPr>
        <w:numPr>
          <w:ilvl w:val="0"/>
          <w:numId w:val="1001"/>
        </w:numPr>
        <w:pStyle w:val="Compact"/>
      </w:pPr>
      <w:r>
        <w:t xml:space="preserve">Government of France. (2019). *Energy Transition for Green Growth Act: Article 173 Implementation Guidelines*.</w:t>
      </w:r>
    </w:p>
    <w:p>
      <w:pPr>
        <w:numPr>
          <w:ilvl w:val="0"/>
          <w:numId w:val="1001"/>
        </w:numPr>
        <w:pStyle w:val="Compact"/>
      </w:pPr>
      <w:r>
        <w:t xml:space="preserve">Hamel, P. (2023). *Sustainable Finance and the Role of the Banker*. European Central Bank Working Paper Series.</w:t>
      </w:r>
    </w:p>
    <w:p>
      <w:pPr>
        <w:numPr>
          <w:ilvl w:val="0"/>
          <w:numId w:val="1001"/>
        </w:numPr>
        <w:pStyle w:val="Compact"/>
      </w:pPr>
      <w:r>
        <w:t xml:space="preserve">Leroy, S. (2020). *The Digital Transformation of French Banking Institutions*. Sorbonne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the Banker in France Paris: A Contemporary Academic Analysis</dc:title>
  <dc:creator/>
  <dc:language>en</dc:language>
  <cp:keywords/>
  <dcterms:created xsi:type="dcterms:W3CDTF">2026-07-29T14:23:14Z</dcterms:created>
  <dcterms:modified xsi:type="dcterms:W3CDTF">2026-07-29T14:23:14Z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