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Strategic</w:t>
      </w:r>
      <w:r>
        <w:t xml:space="preserve"> </w:t>
      </w:r>
      <w:r>
        <w:t xml:space="preserve">Adaptations</w:t>
      </w:r>
      <w:r>
        <w:t xml:space="preserve"> </w:t>
      </w:r>
      <w:r>
        <w:t xml:space="preserve">in</w:t>
      </w:r>
      <w:r>
        <w:t xml:space="preserve"> </w:t>
      </w:r>
      <w:r>
        <w:t xml:space="preserve">the</w:t>
      </w:r>
      <w:r>
        <w:t xml:space="preserve"> </w:t>
      </w:r>
      <w:r>
        <w:t xml:space="preserve">Financial</w:t>
      </w:r>
      <w:r>
        <w:t xml:space="preserve"> </w:t>
      </w:r>
      <w:r>
        <w:t xml:space="preserve">Landscape</w:t>
      </w:r>
      <w:r>
        <w:t xml:space="preserve"> </w:t>
      </w:r>
      <w:r>
        <w:t xml:space="preserve">of</w:t>
      </w:r>
      <w:r>
        <w:t xml:space="preserve"> </w:t>
      </w:r>
      <w:r>
        <w:t xml:space="preserve">Germany</w:t>
      </w:r>
      <w:r>
        <w:t xml:space="preserve"> </w:t>
      </w:r>
      <w:r>
        <w:t xml:space="preserve">Munich</w:t>
      </w:r>
    </w:p>
    <w:bookmarkStart w:id="26" w:name="Xbc2b9fbbfe540074cedadafc7901ca46447b424"/>
    <w:p>
      <w:pPr>
        <w:pStyle w:val="Heading1"/>
      </w:pPr>
      <w:r>
        <w:t xml:space="preserve">The Modern Banker in Central Europe</w:t>
      </w:r>
      <w:r>
        <w:br/>
      </w:r>
      <w:r>
        <w:t xml:space="preserve">Navigating Regulatory Complexity and Digital Transformation in Germany Munich</w:t>
      </w:r>
    </w:p>
    <w:p>
      <w:pPr>
        <w:pStyle w:val="FirstParagraph"/>
      </w:pPr>
      <w:r>
        <w:rPr>
          <w:bCs/>
          <w:b/>
        </w:rPr>
        <w:t xml:space="preserve">J. A. Scholar</w:t>
      </w:r>
      <w:r>
        <w:t xml:space="preserve">, Department of Financial Economics, University of Munich</w:t>
      </w:r>
    </w:p>
    <w:p>
      <w:pPr>
        <w:pStyle w:val="BodyText"/>
      </w:pPr>
      <w:r>
        <w:rPr>
          <w:iCs/>
          <w:i/>
        </w:rPr>
        <w:t xml:space="preserve">Submitted for publication in the Journal of European Banking Studies, 2023.</w:t>
      </w:r>
    </w:p>
    <w:p>
      <w:pPr>
        <w:pStyle w:val="BodyText"/>
      </w:pPr>
      <w:r>
        <w:rPr>
          <w:bCs/>
          <w:b/>
        </w:rPr>
        <w:t xml:space="preserve">Abstract:</w:t>
      </w:r>
      <w:r>
        <w:br/>
      </w:r>
      <w:r>
        <w:t xml:space="preserve">This article examines the evolving role and responsibilities of the Banker within the specific economic and regulatory context of Germany Munich. As a global financial hub, Germany Munich serves as a critical node for both domestic German banking operations and international capital flows. This study analyzes how contemporary Bankers must balance traditional fiduciary duties with emerging challenges posed by digitalization, stringent European Union regulations, and shifting client expectations. The paper argues that the definition of an effective Banker in this region has shifted from mere transactional facilitation to becoming a strategic advisor capable of navigating complex geopolitical and technological landscapes.</w:t>
      </w:r>
    </w:p>
    <w:bookmarkStart w:id="20" w:name="introduction"/>
    <w:p>
      <w:pPr>
        <w:pStyle w:val="Heading2"/>
      </w:pPr>
      <w:r>
        <w:t xml:space="preserve">1. Introduction</w:t>
      </w:r>
    </w:p>
    <w:p>
      <w:pPr>
        <w:pStyle w:val="FirstParagraph"/>
      </w:pPr>
      <w:r>
        <w:t xml:space="preserve">The financial sector remains one of the most pivotal pillars of the German economy, providing essential liquidity and investment frameworks that drive industrial growth and innovation. Within this broader national framework, Germany Munich has emerged not merely as a regional capital but as a sophisticated international financial center. The presence of major institutions such as Bayerische Landesbank (BayernLB), numerous private banks, and the growing fintech ecosystem creates a unique environment for financial professionals.</w:t>
      </w:r>
    </w:p>
    <w:p>
      <w:pPr>
        <w:pStyle w:val="BodyText"/>
      </w:pPr>
      <w:r>
        <w:t xml:space="preserve">This article focuses on the professional identity and operational requirements of the Banker operating in this specific locale. While banking principles are universal, their application is deeply contextual. The Banker in Germany Munich operates under a distinct set of pressures: strict adherence to BaFin (Federal Financial Supervisory Authority) guidelines, alignment with Bundesbank directives, and the competitive dynamics of a market that values both stability and innovation. As such, understanding the specific nuances required by a modern Banker in this region is essential for academic discourse and practical application in financial education.</w:t>
      </w:r>
    </w:p>
    <w:bookmarkEnd w:id="20"/>
    <w:bookmarkStart w:id="21" w:name="X91493dc36fb04102625feab2c82b0a285bacace"/>
    <w:p>
      <w:pPr>
        <w:pStyle w:val="Heading2"/>
      </w:pPr>
      <w:r>
        <w:t xml:space="preserve">2. The Regulatory Environment: A Foundation for Trust</w:t>
      </w:r>
    </w:p>
    <w:p>
      <w:pPr>
        <w:pStyle w:val="FirstParagraph"/>
      </w:pPr>
      <w:r>
        <w:t xml:space="preserve">The primary characteristic defining the workspace of any Banker in Germany Munich is the rigorous regulatory framework. Unlike some Anglo-Saxon markets that may prioritize flexibility, the German banking tradition is rooted in stability, prudence, and long-term relationship building. For a Banker operating in Germany Munich, compliance is not merely a legal obligation but a core component of professional ethics.</w:t>
      </w:r>
    </w:p>
    <w:p>
      <w:pPr>
        <w:pStyle w:val="BodyText"/>
      </w:pPr>
      <w:r>
        <w:t xml:space="preserve">The implementation of Basel III regulations has significantly altered capital requirements for banks. Consequently, the modern Banker must possess a sophisticated understanding of risk-weighted assets and liquidity coverage ratios. In Germany Munich, where conservative investment strategies have historically dominated, the pressure to generate yield while maintaining strict solvency standards creates a complex operational environment. The Banker must constantly navigate between meeting shareholder expectations for return on equity and adhering to the cautious risk appetite mandated by local regulatory bodies.</w:t>
      </w:r>
    </w:p>
    <w:p>
      <w:pPr>
        <w:pStyle w:val="BodyText"/>
      </w:pPr>
      <w:r>
        <w:t xml:space="preserve">Furthermore, anti-money laundering (AML) and know-your-customer (KYC) protocols are enforced with exceptional rigor in Germany Munich. A failure in these areas can result not only in financial penalties but also in severe reputational damage. Therefore, the educational profile of a contemporary Banker must include advanced training in forensic accounting and compliance monitoring, distinguishing the German Munich banker as one of the most legally literate professionals globally.</w:t>
      </w:r>
    </w:p>
    <w:bookmarkEnd w:id="21"/>
    <w:bookmarkStart w:id="22" w:name="Xbc1d47106519f80c3edd7c27af21b4cf818660a"/>
    <w:p>
      <w:pPr>
        <w:pStyle w:val="Heading2"/>
      </w:pPr>
      <w:r>
        <w:t xml:space="preserve">3. Digital Transformation and Fintech Integration</w:t>
      </w:r>
    </w:p>
    <w:p>
      <w:pPr>
        <w:pStyle w:val="FirstParagraph"/>
      </w:pPr>
      <w:r>
        <w:t xml:space="preserve">The traditional image of the Banker—seated behind a mahogany desk, relying solely on personal relationships—is undergoing a radical transformation. Germany Munich is currently experiencing a surge in fintech startups and digital banking initiatives. This shift demands that the Banker evolve from a product seller to a tech-savvy consultant. The integration of artificial intelligence (AI) in credit scoring, blockchain for cross-border payments, and big data analytics for customer segmentation are no longer futuristic concepts but present-day realities.</w:t>
      </w:r>
    </w:p>
    <w:p>
      <w:pPr>
        <w:pStyle w:val="BodyText"/>
      </w:pPr>
      <w:r>
        <w:t xml:space="preserve">In this context, the role of the Banker is redefined by technological competency. A Banker who lacks understanding of digital infrastructure cannot effectively serve clients who demand seamless mobile banking experiences. However, unlike pure fintech entities, German banks leverage their established trust networks. The successful Banker in Germany Munich acts as a bridge between traditional trust and modern efficiency, explaining complex digital tools to older demographics while offering innovative solutions to younger investors.</w:t>
      </w:r>
    </w:p>
    <w:p>
      <w:pPr>
        <w:pStyle w:val="BodyText"/>
      </w:pPr>
      <w:r>
        <w:t xml:space="preserve">This duality requires a hybrid skill set. Soft skills such as empathy, negotiation, and ethical judgment remain irreplaceable human assets of the Banker. Yet, these must be augmented by data literacy. The ability to interpret algorithmic outputs allows the Banker to provide personalized advice that is both compliant and tailored to individual client needs.</w:t>
      </w:r>
    </w:p>
    <w:bookmarkEnd w:id="22"/>
    <w:bookmarkStart w:id="23" w:name="Xaabfd6b4fa76e1b0741849b06ebd5ae0a2e298b"/>
    <w:p>
      <w:pPr>
        <w:pStyle w:val="Heading2"/>
      </w:pPr>
      <w:r>
        <w:t xml:space="preserve">4. Client Relationships and Cultural Nuances</w:t>
      </w:r>
    </w:p>
    <w:p>
      <w:pPr>
        <w:pStyle w:val="FirstParagraph"/>
      </w:pPr>
      <w:r>
        <w:t xml:space="preserve">The cultural fabric of Germany Munich influences banking relationships profoundly. Clients in this region tend to value privacy, transparency, and long-term security over high-risk, high-reward speculative investments. The Banker must cultivate patience and consistency in relationship management.</w:t>
      </w:r>
    </w:p>
    <w:p>
      <w:pPr>
        <w:pStyle w:val="BodyText"/>
      </w:pPr>
      <w:r>
        <w:t xml:space="preserve">Moreover, the clientele in Germany Munich is increasingly international. As the city hosts numerous multinational corporations and expatriate communities, the Banker must be adept at cross-cultural communication. This includes understanding different attitudes toward debt, investment horizons, and estate planning across various nationalities. The Banker serves as a cultural intermediary, ensuring that financial products are not only suitable for the client’s risk profile but also culturally appropriate.</w:t>
      </w:r>
    </w:p>
    <w:bookmarkEnd w:id="23"/>
    <w:bookmarkStart w:id="24" w:name="conclusion"/>
    <w:p>
      <w:pPr>
        <w:pStyle w:val="Heading2"/>
      </w:pPr>
      <w:r>
        <w:t xml:space="preserve">5. Conclusion</w:t>
      </w:r>
    </w:p>
    <w:p>
      <w:pPr>
        <w:pStyle w:val="FirstParagraph"/>
      </w:pPr>
      <w:r>
        <w:t xml:space="preserve">In conclusion, the role of the Banker in Germany Munich is multifaceted and increasingly complex. It requires a synthesis of legal expertise, technological proficiency, and deep cultural intelligence. The Banker is no longer just a manager of money but a strategic advisor navigating the intersection of regulation, technology, and human behavior.</w:t>
      </w:r>
    </w:p>
    <w:p>
      <w:pPr>
        <w:pStyle w:val="BodyText"/>
      </w:pPr>
      <w:r>
        <w:t xml:space="preserve">For academic institutions and professional bodies in Germany Munich, this implies that curricula for banking education must be updated to reflect these realities. Future bankers must be trained not only in financial theory but also in regulatory compliance frameworks specific to the EU and Germany, as well as digital literacy tools. By adapting to these demands, the profession of the Banker will remain relevant and robust in one of Europe’s most critical economic hubs.</w:t>
      </w:r>
    </w:p>
    <w:bookmarkEnd w:id="24"/>
    <w:bookmarkStart w:id="25" w:name="references"/>
    <w:p>
      <w:pPr>
        <w:pStyle w:val="Heading2"/>
      </w:pPr>
      <w:r>
        <w:t xml:space="preserve">References</w:t>
      </w:r>
    </w:p>
    <w:p>
      <w:pPr>
        <w:pStyle w:val="FirstParagraph"/>
      </w:pPr>
      <w:r>
        <w:t xml:space="preserve">Bundesbank. (2023).</w:t>
      </w:r>
      <w:r>
        <w:t xml:space="preserve"> </w:t>
      </w:r>
      <w:r>
        <w:rPr>
          <w:iCs/>
          <w:i/>
        </w:rPr>
        <w:t xml:space="preserve">The German Banking Sector: Stability and Innovation.</w:t>
      </w:r>
      <w:r>
        <w:t xml:space="preserve"> </w:t>
      </w:r>
      <w:r>
        <w:t xml:space="preserve">Frankfurt: Deutsche Bundesbank Press.</w:t>
      </w:r>
    </w:p>
    <w:p>
      <w:pPr>
        <w:pStyle w:val="BodyText"/>
      </w:pPr>
      <w:r>
        <w:t xml:space="preserve">European Central Bank. (2023).</w:t>
      </w:r>
      <w:r>
        <w:t xml:space="preserve"> </w:t>
      </w:r>
      <w:r>
        <w:rPr>
          <w:iCs/>
          <w:i/>
        </w:rPr>
        <w:t xml:space="preserve">Mental Accounting in Digital Payments and its Impact on Consumer Behavior in the Eurozone.</w:t>
      </w:r>
      <w:r>
        <w:t xml:space="preserve"> </w:t>
      </w:r>
      <w:r>
        <w:t xml:space="preserve">Frankfurt: ECB Publications.</w:t>
      </w:r>
    </w:p>
    <w:p>
      <w:pPr>
        <w:pStyle w:val="BodyText"/>
      </w:pPr>
      <w:r>
        <w:t xml:space="preserve">Müller, H., &amp; Schmidt, K. (2022). "Regulatory Compliance as a Competitive Advantage: A Case Study of Munich-based Private Banks."</w:t>
      </w:r>
      <w:r>
        <w:t xml:space="preserve"> </w:t>
      </w:r>
      <w:r>
        <w:rPr>
          <w:iCs/>
          <w:i/>
        </w:rPr>
        <w:t xml:space="preserve">Journal of European Finance Law</w:t>
      </w:r>
      <w:r>
        <w:t xml:space="preserve">, 14(3), 45-67.</w:t>
      </w:r>
    </w:p>
    <w:p>
      <w:pPr>
        <w:pStyle w:val="BodyText"/>
      </w:pPr>
      <w:r>
        <w:t xml:space="preserve">Schneider, L. (2023). "Fintech Disruption in Central Europe: Challenges for Traditional Bankers."</w:t>
      </w:r>
      <w:r>
        <w:t xml:space="preserve"> </w:t>
      </w:r>
      <w:r>
        <w:rPr>
          <w:iCs/>
          <w:i/>
        </w:rPr>
        <w:t xml:space="preserve">Bavarian Economic Review</w:t>
      </w:r>
      <w:r>
        <w:t xml:space="preserve">, 8(2), 112-130.</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Strategic Adaptations in the Financial Landscape of Germany Munich</dc:title>
  <dc:creator/>
  <dc:language>en</dc:language>
  <cp:keywords/>
  <dcterms:created xsi:type="dcterms:W3CDTF">2026-07-29T15:46:13Z</dcterms:created>
  <dcterms:modified xsi:type="dcterms:W3CDTF">2026-07-29T15:46:13Z</dcterms:modified>
</cp:coreProperties>
</file>

<file path=docProps/custom.xml><?xml version="1.0" encoding="utf-8"?>
<Properties xmlns="http://schemas.openxmlformats.org/officeDocument/2006/custom-properties" xmlns:vt="http://schemas.openxmlformats.org/officeDocument/2006/docPropsVTypes"/>
</file>