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Indonesia</w:t>
      </w:r>
      <w:r>
        <w:t xml:space="preserve"> </w:t>
      </w:r>
      <w:r>
        <w:t xml:space="preserve">Jakarta</w:t>
      </w:r>
    </w:p>
    <w:bookmarkStart w:id="28" w:name="X3f1fc30bc980c6ead51f887d22b27ae50c218fc"/>
    <w:p>
      <w:pPr>
        <w:pStyle w:val="Heading1"/>
      </w:pPr>
      <w:r>
        <w:t xml:space="preserve">The Strategic Transformation of the Professional Banker Role in Indonesia Jakarta: Navigating Digital Disruption and Regulatory Frameworks</w:t>
      </w:r>
    </w:p>
    <w:p>
      <w:pPr>
        <w:pStyle w:val="FirstParagraph"/>
      </w:pPr>
      <w:r>
        <w:br/>
      </w:r>
    </w:p>
    <w:p>
      <w:pPr>
        <w:pStyle w:val="BodyText"/>
      </w:pPr>
      <w:r>
        <w:t xml:space="preserve">Prepared for Academic Review</w:t>
      </w:r>
      <w:r>
        <w:br/>
      </w:r>
      <w:r>
        <w:t xml:space="preserve">Department of Financial Economics and Asian Banking Studies</w:t>
      </w:r>
    </w:p>
    <w:bookmarkStart w:id="20" w:name="abstract"/>
    <w:p>
      <w:pPr>
        <w:pStyle w:val="Heading2"/>
      </w:pPr>
      <w:r>
        <w:t xml:space="preserve">Abstract</w:t>
      </w:r>
    </w:p>
    <w:p>
      <w:pPr>
        <w:pStyle w:val="FirstParagraph"/>
      </w:pPr>
      <w:r>
        <w:t xml:space="preserve">This article examines the evolving role of the banker within the unique socio-economic landscape of Indonesia Jakarta. As Southeast Asia’s largest economy, Indonesia presents a complex matrix where traditional banking structures intersect rapidly with fintech innovation, regulatory compliance from OJK (Otoritas Jasa Keuangan), and cultural nuances inherent to Indonesian commerce. This study explores how bankers in Indonesia Jakarta are shifting from mere custodians of capital to strategic advisors and digital orchestrators. By analyzing recent market trends, technological adoption rates, and regulatory shifts specific to Indonesia Jakarta’s financial hub, this paper argues that the modern banker must possess a triad of competencies: technical digital literacy, deep cultural intelligence (Budaya), and robust ethical governance. The findings suggest that while technology automates transactional tasks, the human element of banking in Indonesia remains irreplaceable for relationship building and trust establishment.</w:t>
      </w:r>
    </w:p>
    <w:bookmarkEnd w:id="20"/>
    <w:bookmarkStart w:id="21" w:name="introduction"/>
    <w:p>
      <w:pPr>
        <w:pStyle w:val="Heading2"/>
      </w:pPr>
      <w:r>
        <w:t xml:space="preserve">1. Introduction</w:t>
      </w:r>
    </w:p>
    <w:p>
      <w:pPr>
        <w:pStyle w:val="FirstParagraph"/>
      </w:pPr>
      <w:r>
        <w:t xml:space="preserve">The financial sector in Indonesia has undergone a profound transformation over the last decade, driven by both external technological pressures and internal policy reforms. At the epicenter of this change lies Jakarta, the capital city and primary economic engine of Indonesia. For centuries, Jakarta has served as the colonial trading post turned modern metropolis, hosting headquarters for major state-owned banks (Bank Negara Indonesia, Bank Mandiri), private conglomerates (Bank Central Asia, Bank Rakyat Indonesia), and a growing ecosystem of digital-only financial institutions.</w:t>
      </w:r>
    </w:p>
    <w:p>
      <w:pPr>
        <w:pStyle w:val="BodyText"/>
      </w:pPr>
      <w:r>
        <w:t xml:space="preserve">In this context, the figure of the "banker" is no longer defined solely by their ability to assess credit risk or manage liquidity. Instead, the banker in Indonesia Jakarta must navigate a dual reality: maintaining the high-touch relationship banking model that is culturally ingrained in Indonesian business practices while simultaneously integrating artificial intelligence, big data analytics, and blockchain technologies. This article aims to dissect these changes, highlighting how bankers adapt their methodologies to serve clients ranging from rural agricultural cooperatives (KUD) to multinational corporations operating within Indonesia Jakarta’s business districts.</w:t>
      </w:r>
    </w:p>
    <w:bookmarkEnd w:id="21"/>
    <w:bookmarkStart w:id="22" w:name="X095d8dcf17fe8df8acd755ea18075fd2a70c5d6"/>
    <w:p>
      <w:pPr>
        <w:pStyle w:val="Heading2"/>
      </w:pPr>
      <w:r>
        <w:t xml:space="preserve">2. The Regulatory Environment and Ethical Governance</w:t>
      </w:r>
    </w:p>
    <w:p>
      <w:pPr>
        <w:pStyle w:val="FirstParagraph"/>
      </w:pPr>
      <w:r>
        <w:t xml:space="preserve">A critical aspect of being a banker in Indonesia Jakarta is navigating the regulatory framework established by the Otoritas Jasa Keuangan (OJK) and Bank Indonesia. Unlike some Western markets where deregulation has often preceded innovation, the Indonesian approach emphasizes stability and inclusion alongside technological advancement. For instance, the implementation of General Election of Financial Services Authority regulations regarding digital lending platforms has forced traditional bankers to collaborate with fintech startups rather than merely compete with them.</w:t>
      </w:r>
    </w:p>
    <w:p>
      <w:pPr>
        <w:pStyle w:val="BodyText"/>
      </w:pPr>
      <w:r>
        <w:t xml:space="preserve">Ethical governance remains paramount. In Indonesia Jakarta, where personal relationships often dictate business outcomes, the line between networking and corruption can sometimes appear blurred to external observers. However, professional bankers have increasingly adopted strict compliance protocols known as "Know Your Customer" (KYC) and "Anti-Money Laundering" (AML) standards that are strictly enforced. The modern banker must therefore act not only as a financial intermediary but also as a gatekeeper of regulatory integrity, ensuring that transactions within the Indonesian market adhere to both local laws and international anti-corruption standards.</w:t>
      </w:r>
    </w:p>
    <w:bookmarkEnd w:id="22"/>
    <w:bookmarkStart w:id="23" w:name="digital-disruption-and-the-hybrid-model"/>
    <w:p>
      <w:pPr>
        <w:pStyle w:val="Heading2"/>
      </w:pPr>
      <w:r>
        <w:t xml:space="preserve">3. Digital Disruption and the Hybrid Model</w:t>
      </w:r>
    </w:p>
    <w:p>
      <w:pPr>
        <w:pStyle w:val="FirstParagraph"/>
      </w:pPr>
      <w:r>
        <w:t xml:space="preserve">The rise of digital banking in Indonesia Jakarta cannot be overstated. With over 170 million internet users, Indonesia has one of the highest adoption rates of mobile banking in Southeast Asia. Traditional bankers are responding by becoming "hybrid professionals." They utilize data analytics to assess creditworthiness for unbanked populations (the underbanked) who lack formal credit histories but possess viable digital footprints through e-commerce transactions or telco data.</w:t>
      </w:r>
    </w:p>
    <w:p>
      <w:pPr>
        <w:pStyle w:val="BodyText"/>
      </w:pPr>
      <w:r>
        <w:t xml:space="preserve">In Indonesia Jakarta specifically, the physical branch network is shrinking. Bankers are now expected to be proficient in CRM software that tracks client interactions across multiple channels—WhatsApp, mobile apps, and video conferencing. For example, a banker serving small and medium enterprises (SMEs) in Jakarta must guide these clients through digital onboarding processes while maintaining the personal rapport that Indonesian business culture values. This requires a high degree of emotional intelligence and communication skills beyond traditional financial analysis.</w:t>
      </w:r>
    </w:p>
    <w:bookmarkEnd w:id="23"/>
    <w:bookmarkStart w:id="24" w:name="Xd8f519c26213b7539428c5b7b5593a785a65359"/>
    <w:p>
      <w:pPr>
        <w:pStyle w:val="Heading2"/>
      </w:pPr>
      <w:r>
        <w:t xml:space="preserve">4. Cultural Intelligence and Relationship Banking</w:t>
      </w:r>
    </w:p>
    <w:p>
      <w:pPr>
        <w:pStyle w:val="FirstParagraph"/>
      </w:pPr>
      <w:r>
        <w:t xml:space="preserve">A defining characteristic of banking in Indonesia Jakarta is the importance of *Silaturahmi* (maintaining ties) and trust-based relationships. Unlike transactional banking models seen in some Northern European countries, Indonesian clients often prefer dealing with bankers they know personally. This cultural nuance dictates that the banker’s role extends into social engagement.</w:t>
      </w:r>
    </w:p>
    <w:p>
      <w:pPr>
        <w:pStyle w:val="BodyText"/>
      </w:pPr>
      <w:r>
        <w:t xml:space="preserve">Bankers in Indonesia Jakarta frequently engage in community building, attending local events (*pengajian*, neighborhood gatherings) to build trust before offering financial products. This approach is particularly effective for wealth management and private banking services where clients value discretion and personal connection. The failure of foreign banks that attempted to impose rigid, impersonal digital-only models on Indonesian markets underscores the necessity for cultural adaptation. Therefore, the successful banker in this region must be bicultural: fluent in global financial standards yet deeply rooted in local customs.</w:t>
      </w:r>
    </w:p>
    <w:bookmarkEnd w:id="24"/>
    <w:bookmarkStart w:id="25" w:name="financial-inclusion-and-social-impact"/>
    <w:p>
      <w:pPr>
        <w:pStyle w:val="Heading2"/>
      </w:pPr>
      <w:r>
        <w:t xml:space="preserve">5. Financial Inclusion and Social Impact</w:t>
      </w:r>
    </w:p>
    <w:p>
      <w:pPr>
        <w:pStyle w:val="FirstParagraph"/>
      </w:pPr>
      <w:r>
        <w:t xml:space="preserve">The government of Indonesia, through its National Strategy for Financial Inclusion (*Strategi Nasional Keuangan Inklusif*), has set ambitious goals to increase the percentage of financially included adults. Bankers play a pivotal role in achieving these targets. In Indonesia Jakarta, this involves extending services not just to the wealthy elite but also to micro-entrepreneurs in informal sectors.</w:t>
      </w:r>
    </w:p>
    <w:p>
      <w:pPr>
        <w:pStyle w:val="BodyText"/>
      </w:pPr>
      <w:r>
        <w:t xml:space="preserve">Microfinance banking has evolved significantly. Bankers are now using alternative data scoring models to provide loans to street vendors and small shop owners (*warungs*). This shift requires bankers to understand non-traditional income streams and risk factors associated with the informal economy. By facilitating access to credit for these segments, bankers in Indonesia Jakarta contribute directly to poverty reduction and economic resilience.</w:t>
      </w:r>
    </w:p>
    <w:bookmarkEnd w:id="25"/>
    <w:bookmarkStart w:id="26" w:name="challenges-facing-the-modern-banker"/>
    <w:p>
      <w:pPr>
        <w:pStyle w:val="Heading2"/>
      </w:pPr>
      <w:r>
        <w:t xml:space="preserve">6. Challenges Facing the Modern Banker</w:t>
      </w:r>
    </w:p>
    <w:p>
      <w:pPr>
        <w:pStyle w:val="FirstParagraph"/>
      </w:pPr>
      <w:r>
        <w:t xml:space="preserve">Despite opportunities, bankers in Indonesia Jakarta face significant challenges. Cybersecurity threats are escalating as financial transactions move online. The skill gap among existing banking staff is another hurdle; many experienced bankers lack digital literacy, while new graduates often lack understanding of traditional credit analysis.</w:t>
      </w:r>
    </w:p>
    <w:p>
      <w:pPr>
        <w:pStyle w:val="BodyText"/>
      </w:pPr>
      <w:r>
        <w:t xml:space="preserve">Furthermore, interest rate margins are compressing due to competition from digital banks offering lower loan rates. This forces traditional bankers to find value-added services, such as wealth management advice or insurance integration, to maintain profitability. The pressure to perform is intensified by the need for continuous upskilling in a rapidly changing technological landscape.</w:t>
      </w:r>
    </w:p>
    <w:bookmarkEnd w:id="26"/>
    <w:bookmarkStart w:id="27" w:name="conclusion"/>
    <w:p>
      <w:pPr>
        <w:pStyle w:val="Heading2"/>
      </w:pPr>
      <w:r>
        <w:t xml:space="preserve">7. Conclusion</w:t>
      </w:r>
    </w:p>
    <w:p>
      <w:pPr>
        <w:pStyle w:val="FirstParagraph"/>
      </w:pPr>
      <w:r>
        <w:t xml:space="preserve">The role of the banker in Indonesia Jakarta is undergoing a fundamental redefinition. It is no longer sufficient to be merely an administrator of funds; one must be a tech-savvy, culturally aware, and ethically grounded professional. The convergence of strict regulatory oversight (OJK), rapid technological adoption (fintech), and deep-seated cultural values (*Gotong Royong*) creates a unique ecosystem. Future research should focus on longitudinal studies regarding the impact of AI tools on relationship banking metrics in Southeast Asia.</w:t>
      </w:r>
    </w:p>
    <w:p>
      <w:pPr>
        <w:pStyle w:val="BodyText"/>
      </w:pPr>
      <w:r>
        <w:t xml:space="preserve">For institutions operating in Indonesia Jakarta, investing in banker training programs that blend technical digital skills with soft cultural competencies is not optional—it is imperative for survival and growth. The future banker will be a bridge between the traditional Indonesian community and the global digital economy.</w:t>
      </w:r>
    </w:p>
    <w:p>
      <w:pPr>
        <w:pStyle w:val="BodyText"/>
      </w:pPr>
      <w:r>
        <w:rPr>
          <w:bCs/>
          <w:b/>
        </w:rPr>
        <w:t xml:space="preserve">References:</w:t>
      </w:r>
    </w:p>
    <w:p>
      <w:pPr>
        <w:numPr>
          <w:ilvl w:val="0"/>
          <w:numId w:val="1001"/>
        </w:numPr>
        <w:pStyle w:val="Compact"/>
      </w:pPr>
      <w:r>
        <w:t xml:space="preserve">Otoritas Jasa Keuangan (OJK). (2023). *Report on Financial Inclusion in Indonesia*. Jakarta: OJK Publishing.</w:t>
      </w:r>
    </w:p>
    <w:p>
      <w:pPr>
        <w:numPr>
          <w:ilvl w:val="0"/>
          <w:numId w:val="1001"/>
        </w:numPr>
        <w:pStyle w:val="Compact"/>
      </w:pPr>
      <w:r>
        <w:t xml:space="preserve">Suryadi, T. A., &amp; Linnemann, H. (2018). *Banking Sector Reforms in Indonesia*. Singapore: Springer.</w:t>
      </w:r>
    </w:p>
    <w:p>
      <w:pPr>
        <w:numPr>
          <w:ilvl w:val="0"/>
          <w:numId w:val="1001"/>
        </w:numPr>
        <w:pStyle w:val="Compact"/>
      </w:pPr>
      <w:r>
        <w:t xml:space="preserve">Bank Indonesia. (2022). *National Payment System Roadmap*. Jakarta: BI Publications.</w:t>
      </w:r>
    </w:p>
    <w:p>
      <w:pPr>
        <w:numPr>
          <w:ilvl w:val="0"/>
          <w:numId w:val="1001"/>
        </w:numPr>
        <w:pStyle w:val="Compact"/>
      </w:pPr>
      <w:r>
        <w:t xml:space="preserve">Hill, H. (Ed.). (2019). *The Contemporary Economy of Indonesia*. London: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Banker in Indonesia Jakarta</dc:title>
  <dc:creator/>
  <cp:keywords/>
  <dcterms:created xsi:type="dcterms:W3CDTF">2026-07-29T22:07:40Z</dcterms:created>
  <dcterms:modified xsi:type="dcterms:W3CDTF">2026-07-29T22:07:40Z</dcterms:modified>
</cp:coreProperties>
</file>

<file path=docProps/custom.xml><?xml version="1.0" encoding="utf-8"?>
<Properties xmlns="http://schemas.openxmlformats.org/officeDocument/2006/custom-properties" xmlns:vt="http://schemas.openxmlformats.org/officeDocument/2006/docPropsVTypes"/>
</file>