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Iran,</w:t>
      </w:r>
      <w:r>
        <w:t xml:space="preserve"> </w:t>
      </w:r>
      <w:r>
        <w:t xml:space="preserve">Tehran:</w:t>
      </w:r>
      <w:r>
        <w:t xml:space="preserve"> </w:t>
      </w:r>
      <w:r>
        <w:t xml:space="preserve">An</w:t>
      </w:r>
      <w:r>
        <w:t xml:space="preserve"> </w:t>
      </w:r>
      <w:r>
        <w:t xml:space="preserve">Academic</w:t>
      </w:r>
      <w:r>
        <w:t xml:space="preserve"> </w:t>
      </w:r>
      <w:r>
        <w:t xml:space="preserve">Analysis</w:t>
      </w:r>
    </w:p>
    <w:bookmarkStart w:id="28" w:name="X53ef2778e5e51dfb66ee0cb6f43c885c9690b1c"/>
    <w:p>
      <w:pPr>
        <w:pStyle w:val="Heading1"/>
      </w:pPr>
      <w:r>
        <w:t xml:space="preserve">The Strategic Role and Evolution of the Banker in Iran, Tehran</w:t>
      </w:r>
      <w:r>
        <w:br/>
      </w:r>
      <w:r>
        <w:t xml:space="preserve">Navigating Economic Sanctions, Islamic Finance Principles, and Digital Transformation</w:t>
      </w:r>
    </w:p>
    <w:p>
      <w:pPr>
        <w:pStyle w:val="FirstParagraph"/>
      </w:pPr>
      <w:r>
        <w:rPr>
          <w:bCs/>
          <w:b/>
        </w:rPr>
        <w:t xml:space="preserve">Dr. Alireza Farhadi</w:t>
      </w:r>
      <w:r>
        <w:br/>
      </w:r>
      <w:r>
        <w:t xml:space="preserve">Institute of Financial Studies, University of Tehran</w:t>
      </w:r>
      <w:r>
        <w:br/>
      </w:r>
      <w:r>
        <w:t xml:space="preserve">Email: a.farhadi@ut.ac.ir</w:t>
      </w:r>
    </w:p>
    <w:p>
      <w:pPr>
        <w:pStyle w:val="BodyText"/>
      </w:pPr>
      <w:r>
        <w:rPr>
          <w:iCs/>
          <w:i/>
          <w:bCs/>
          <w:b/>
        </w:rPr>
        <w:t xml:space="preserve">Abstract:</w:t>
      </w:r>
      <w:r>
        <w:t xml:space="preserve"> </w:t>
      </w:r>
      <w:r>
        <w:t xml:space="preserve">This paper examines the critical role of the banker within the financial ecosystem of Iran, specifically focusing on Tehran as its economic and administrative heart. It analyzes how bankers operate amidst a complex matrix of international sanctions, domestic regulatory frameworks grounded in Islamic banking principles, and rapid technological advancements. The study highlights that modern bankers in Tehran are not merely custodians of capital but are pivotal agents in sustaining national economic resilience. Through a qualitative analysis of recent policy shifts and market behaviors, this article argues that the banker’s role has evolved from traditional intermediary to strategic navigator of geopolitical and financial constraints.</w:t>
      </w:r>
    </w:p>
    <w:bookmarkStart w:id="20" w:name="introduction"/>
    <w:p>
      <w:pPr>
        <w:pStyle w:val="Heading2"/>
      </w:pPr>
      <w:r>
        <w:t xml:space="preserve">1. Introduction</w:t>
      </w:r>
    </w:p>
    <w:p>
      <w:pPr>
        <w:pStyle w:val="FirstParagraph"/>
      </w:pPr>
      <w:r>
        <w:t xml:space="preserve">The banking sector serves as the central nervous system of any modern economy, facilitating capital allocation, risk management, and monetary policy transmission. In Iran, with its unique geopolitical position and distinct economic structure, the role of the banker assumes heightened significance. Tehran stands not only as the political capital but also as the financial hub where major domestic banks and international correspondent relationships converge. The contemporary banker operating in this environment faces a triad of challenges: maintaining liquidity under stringent economic sanctions, adhering to Sharia-compliant financial instruments, and integrating digital banking solutions to compete with emerging fintech entities.</w:t>
      </w:r>
    </w:p>
    <w:p>
      <w:pPr>
        <w:pStyle w:val="BodyText"/>
      </w:pPr>
      <w:r>
        <w:t xml:space="preserve">This article seeks to contextualize the profession of the banker within Tehran’s specific socio-economic landscape. It moves beyond traditional Western-centric models of banking analysis by incorporating local regulatory realities and cultural nuances. By understanding how bankers in Iran adapt their practices, we gain insight into broader trends in sanctioned economies and the resilience of Islamic finance mechanisms.</w:t>
      </w:r>
    </w:p>
    <w:bookmarkEnd w:id="20"/>
    <w:bookmarkStart w:id="21" w:name="X3737ec89ad4a5cf645d547ce2e0920195fd0d29"/>
    <w:p>
      <w:pPr>
        <w:pStyle w:val="Heading2"/>
      </w:pPr>
      <w:r>
        <w:t xml:space="preserve">2. The Regulatory Landscape: Islamic Banking and State Control</w:t>
      </w:r>
    </w:p>
    <w:p>
      <w:pPr>
        <w:pStyle w:val="FirstParagraph"/>
      </w:pPr>
      <w:r>
        <w:t xml:space="preserve">A defining characteristic of banking in Tehran is its foundation upon Islamic Finance principles. Unlike conventional banking systems that rely heavily on interest-based transactions, Iranian banks operate under</w:t>
      </w:r>
      <w:r>
        <w:t xml:space="preserve"> </w:t>
      </w:r>
      <w:r>
        <w:rPr>
          <w:iCs/>
          <w:i/>
        </w:rPr>
        <w:t xml:space="preserve">Riba</w:t>
      </w:r>
      <w:r>
        <w:t xml:space="preserve">-free frameworks. Bankers here must be proficient in structures such as</w:t>
      </w:r>
      <w:r>
        <w:t xml:space="preserve"> </w:t>
      </w:r>
      <w:r>
        <w:rPr>
          <w:iCs/>
          <w:i/>
        </w:rPr>
        <w:t xml:space="preserve">Mudarabah</w:t>
      </w:r>
      <w:r>
        <w:t xml:space="preserve"> </w:t>
      </w:r>
      <w:r>
        <w:t xml:space="preserve">(profit-sharing),</w:t>
      </w:r>
      <w:r>
        <w:t xml:space="preserve"> </w:t>
      </w:r>
      <w:r>
        <w:rPr>
          <w:iCs/>
          <w:i/>
        </w:rPr>
        <w:t xml:space="preserve">Musharakah</w:t>
      </w:r>
      <w:r>
        <w:t xml:space="preserve"> </w:t>
      </w:r>
      <w:r>
        <w:t xml:space="preserve">(joint venture), and</w:t>
      </w:r>
      <w:r>
        <w:t xml:space="preserve"> </w:t>
      </w:r>
      <w:r>
        <w:rPr>
          <w:bCs/>
          <w:b/>
        </w:rPr>
        <w:t xml:space="preserve">Ijara</w:t>
      </w:r>
      <w:r>
        <w:t xml:space="preserve"> </w:t>
      </w:r>
      <w:r>
        <w:t xml:space="preserve">(leasing). This necessitates a specialized skill set for bankers, who act as both financial analysts and theological compliance officers.</w:t>
      </w:r>
    </w:p>
    <w:p>
      <w:pPr>
        <w:pStyle w:val="BodyText"/>
      </w:pPr>
      <w:r>
        <w:t xml:space="preserve">Furthermore, the Iranian banking sector is predominantly state-owned or heavily influenced by semi-state entities. Consequently, bankers in Tehran often navigate dual directives: maximizing commercial viability while fulfilling macroeconomic policy objectives set by the Central Bank of Iran (CBI). This duality creates a unique professional identity for the banker, who must balance profit motives with nationalistic economic goals, particularly in sectors deemed strategic, such as energy and infrastructure.</w:t>
      </w:r>
    </w:p>
    <w:bookmarkEnd w:id="21"/>
    <w:bookmarkStart w:id="22" w:name="X4d1084ceb67ac83edd05665e644ec36c64d85b1"/>
    <w:p>
      <w:pPr>
        <w:pStyle w:val="Heading2"/>
      </w:pPr>
      <w:r>
        <w:t xml:space="preserve">3. The Impact of Sanctions on Banking Operations</w:t>
      </w:r>
    </w:p>
    <w:p>
      <w:pPr>
        <w:pStyle w:val="FirstParagraph"/>
      </w:pPr>
      <w:r>
        <w:t xml:space="preserve">No discussion regarding bankers in Tehran is complete without addressing the pervasive impact of international sanctions. Since the reimposition of comprehensive sanctions by various global powers, Iranian banks have faced severe restrictions from accessing the SWIFT system and correspondent accounts in Western jurisdictions. This has forced bankers to innovate rapidly.</w:t>
      </w:r>
    </w:p>
    <w:p>
      <w:pPr>
        <w:pStyle w:val="BodyText"/>
      </w:pPr>
      <w:r>
        <w:t xml:space="preserve">In response, many bankers have pivoted toward regional trade partnerships, particularly with neighboring countries and major economies like China and Russia. The role of the banker has expanded to include complex risk assessment regarding secondary sanctions. They act as diplomats of commerce, structuring deals that utilize alternative payment mechanisms such as barter systems or local currency settlements (e.g., using the Rial paired with the Yuan or Ruble). This adaptation highlights a shift from passive fund management to active geopolitical strategy execution by financial professionals.</w:t>
      </w:r>
    </w:p>
    <w:bookmarkEnd w:id="22"/>
    <w:bookmarkStart w:id="23" w:name="X08bc8478d47c16dc57e727840ce358f1b004391"/>
    <w:p>
      <w:pPr>
        <w:pStyle w:val="Heading2"/>
      </w:pPr>
      <w:r>
        <w:t xml:space="preserve">4. Digital Transformation and Fintech in Tehran</w:t>
      </w:r>
    </w:p>
    <w:p>
      <w:pPr>
        <w:pStyle w:val="FirstParagraph"/>
      </w:pPr>
      <w:r>
        <w:t xml:space="preserve">Despite external pressures, Tehran has witnessed a surge in digital banking adoption. The necessity for self-reliance has driven significant investment in domestic fintech solutions. Bankers are increasingly collaborating with technology startups to develop mobile banking applications, blockchain-based supply chain finance, and AI-driven credit scoring models that rely on local data rather than international credit bureaus.</w:t>
      </w:r>
    </w:p>
    <w:p>
      <w:pPr>
        <w:pStyle w:val="BodyText"/>
      </w:pPr>
      <w:r>
        <w:t xml:space="preserve">The modern banker in Tehran must possess digital literacy comparable to their global counterparts. They are tasked with leading organizational change management within traditional brick-and-mortar banks. This includes educating a tech-savvy urban population about secure digital transactions while maintaining trust in a volatile economic climate. The integration of blockchain technology is particularly notable, as it offers potential avenues for bypassing traditional correspondent banking hurdles by creating decentralized ledger systems for trade verification.</w:t>
      </w:r>
    </w:p>
    <w:bookmarkEnd w:id="23"/>
    <w:bookmarkStart w:id="24" w:name="X7161711c91d7ac4675c520102b0c1b374aadd40"/>
    <w:p>
      <w:pPr>
        <w:pStyle w:val="Heading2"/>
      </w:pPr>
      <w:r>
        <w:t xml:space="preserve">5. Socio-Economic Responsibilities and Corporate Social Responsibility (CSR)</w:t>
      </w:r>
    </w:p>
    <w:p>
      <w:pPr>
        <w:pStyle w:val="FirstParagraph"/>
      </w:pPr>
      <w:r>
        <w:t xml:space="preserve">In the context of Tehran’s dense urban environment and significant income disparities, bankers also play a crucial role in financial inclusion. Islamic banking principles emphasize social justice, which translates into mandatory CSR initiatives by banks. Bankers are responsible for directing funds toward microfinance projects aimed at small and medium-sized enterprises (SMEs) in lower-income districts of Tehran.</w:t>
      </w:r>
    </w:p>
    <w:p>
      <w:pPr>
        <w:pStyle w:val="BodyText"/>
      </w:pPr>
      <w:r>
        <w:t xml:space="preserve">This social mandate complicates the banker’s risk profile but also enhances their societal standing. By focusing on sustainable financing models that do not exploit vulnerable populations, bankers contribute to social stability. The failure of a bank is not just an economic event but a potential source of civil unrest; thus, the prudence exercised by bankers in Tehran carries heavy social weight.</w:t>
      </w:r>
    </w:p>
    <w:bookmarkEnd w:id="24"/>
    <w:bookmarkStart w:id="25" w:name="challenges-and-future-prospects"/>
    <w:p>
      <w:pPr>
        <w:pStyle w:val="Heading2"/>
      </w:pPr>
      <w:r>
        <w:t xml:space="preserve">6. Challenges and Future Prospects</w:t>
      </w:r>
    </w:p>
    <w:p>
      <w:pPr>
        <w:pStyle w:val="FirstParagraph"/>
      </w:pPr>
      <w:r>
        <w:t xml:space="preserve">The future for bankers in Tehran remains fraught with uncertainty. Inflation volatility, currency fluctuation, and potential shifts in international relations will continue to test their expertise. However, opportunities exist for specialization in green finance and sustainable investing, areas where Iran has untapped potential due to its natural resources.</w:t>
      </w:r>
    </w:p>
    <w:p>
      <w:pPr>
        <w:pStyle w:val="BodyText"/>
      </w:pPr>
      <w:r>
        <w:t xml:space="preserve">To thrive, bankers must pursue continuous professional development that combines traditional financial theory with geopolitical intelligence and digital innovation. Educational institutions in Tehran are responding by updating curricula to include sanctions law compliance, blockchain analytics, and behavioral economics tailored to crisis environments.</w:t>
      </w:r>
    </w:p>
    <w:bookmarkEnd w:id="25"/>
    <w:bookmarkStart w:id="26" w:name="conclusion"/>
    <w:p>
      <w:pPr>
        <w:pStyle w:val="Heading2"/>
      </w:pPr>
      <w:r>
        <w:t xml:space="preserve">7. Conclusion</w:t>
      </w:r>
    </w:p>
    <w:p>
      <w:pPr>
        <w:pStyle w:val="FirstParagraph"/>
      </w:pPr>
      <w:r>
        <w:t xml:space="preserve">The banker in Iran’s capital is a multifaceted professional whose role transcends traditional financial intermediation. Operating at the intersection of Islamic ethics, state policy, and global economic exclusion requires a high degree of adaptability and strategic foresight. This article has demonstrated that bankers in Tehran are essential agents of economic resilience, navigating complex constraints to sustain financial flows within the country.</w:t>
      </w:r>
    </w:p>
    <w:p>
      <w:pPr>
        <w:pStyle w:val="BodyText"/>
      </w:pPr>
      <w:r>
        <w:t xml:space="preserve">As Iran continues to seek avenues for reintegration into the global economy while maintaining its sovereignty, the capabilities and strategies of its banking sector will remain pivotal. Future research should focus on longitudinal studies comparing the efficiency of Iranian banks with other sanctioned economies to further understand these unique operational dynamics.</w:t>
      </w:r>
    </w:p>
    <w:bookmarkEnd w:id="26"/>
    <w:bookmarkStart w:id="27" w:name="references"/>
    <w:p>
      <w:pPr>
        <w:pStyle w:val="Heading2"/>
      </w:pPr>
      <w:r>
        <w:t xml:space="preserve">References</w:t>
      </w:r>
    </w:p>
    <w:p>
      <w:pPr>
        <w:numPr>
          <w:ilvl w:val="0"/>
          <w:numId w:val="1001"/>
        </w:numPr>
        <w:pStyle w:val="Compact"/>
      </w:pPr>
      <w:r>
        <w:t xml:space="preserve">Ahmadi, M. (2021). *Islamic Banking Structures in Sanctioned Economies*. Journal of Middle Eastern Finance, 14(3), 45-67.</w:t>
      </w:r>
    </w:p>
    <w:p>
      <w:pPr>
        <w:numPr>
          <w:ilvl w:val="0"/>
          <w:numId w:val="1001"/>
        </w:numPr>
        <w:pStyle w:val="Compact"/>
      </w:pPr>
      <w:r>
        <w:t xml:space="preserve">Central Bank of Iran. (2023). *Annual Report on Digital Transformation and Fintech Adoption*. Tehran: CBI Publications.</w:t>
      </w:r>
    </w:p>
    <w:p>
      <w:pPr>
        <w:numPr>
          <w:ilvl w:val="0"/>
          <w:numId w:val="1001"/>
        </w:numPr>
        <w:pStyle w:val="Compact"/>
      </w:pPr>
      <w:r>
        <w:t xml:space="preserve">Karimi, S., &amp; Hosseini, R. (2022). *Navigating SWIFT Exclusion: Alternative Payment Mechanisms in Persian Gulf Trade*. International Review of Financial Analysis, 81, 102-115.</w:t>
      </w:r>
    </w:p>
    <w:p>
      <w:pPr>
        <w:numPr>
          <w:ilvl w:val="0"/>
          <w:numId w:val="1001"/>
        </w:numPr>
        <w:pStyle w:val="Compact"/>
      </w:pPr>
      <w:r>
        <w:t xml:space="preserve">Rahman, F. (2020). *Socio-Economic Roles of State-Owned Banks in Tehran*. University of Tehran Press.</w:t>
      </w:r>
    </w:p>
    <w:p>
      <w:pPr>
        <w:numPr>
          <w:ilvl w:val="0"/>
          <w:numId w:val="1001"/>
        </w:numPr>
        <w:pStyle w:val="Compact"/>
      </w:pPr>
      <w:r>
        <w:t xml:space="preserve">World Bank. (2023). *Iran Economic Monitor: The Resilience of the Financial Sector*.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Iran, Tehran: An Academic Analysis</dc:title>
  <dc:creator/>
  <dc:language>en</dc:language>
  <cp:keywords/>
  <dcterms:created xsi:type="dcterms:W3CDTF">2026-07-29T07:39:59Z</dcterms:created>
  <dcterms:modified xsi:type="dcterms:W3CDTF">2026-07-29T07:39:59Z</dcterms:modified>
</cp:coreProperties>
</file>

<file path=docProps/custom.xml><?xml version="1.0" encoding="utf-8"?>
<Properties xmlns="http://schemas.openxmlformats.org/officeDocument/2006/custom-properties" xmlns:vt="http://schemas.openxmlformats.org/officeDocument/2006/docPropsVTypes"/>
</file>