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the</w:t>
      </w:r>
      <w:r>
        <w:t xml:space="preserve"> </w:t>
      </w:r>
      <w:r>
        <w:t xml:space="preserve">Economic</w:t>
      </w:r>
      <w:r>
        <w:t xml:space="preserve"> </w:t>
      </w:r>
      <w:r>
        <w:t xml:space="preserve">Reconstruction</w:t>
      </w:r>
      <w:r>
        <w:t xml:space="preserve"> </w:t>
      </w:r>
      <w:r>
        <w:t xml:space="preserve">of</w:t>
      </w:r>
      <w:r>
        <w:t xml:space="preserve"> </w:t>
      </w:r>
      <w:r>
        <w:t xml:space="preserve">Iraq,</w:t>
      </w:r>
      <w:r>
        <w:t xml:space="preserve"> </w:t>
      </w:r>
      <w:r>
        <w:t xml:space="preserve">Baghdad</w:t>
      </w:r>
    </w:p>
    <w:bookmarkStart w:id="31" w:name="Xd469b22a02eb8417110fad2bd4def4a52c24ae7"/>
    <w:p>
      <w:pPr>
        <w:pStyle w:val="Heading1"/>
      </w:pPr>
      <w:r>
        <w:t xml:space="preserve">The Professional Transformation of the Banker in Post-Conflict Iraq: Strategic Implications for Baghdad’s Financial Sector</w:t>
      </w:r>
    </w:p>
    <w:p>
      <w:pPr>
        <w:pStyle w:val="FirstParagraph"/>
      </w:pPr>
      <w:r>
        <w:t xml:space="preserve">Dr. Ahmed Al-Mansour</w:t>
      </w:r>
      <w:r>
        <w:br/>
      </w:r>
      <w:r>
        <w:t xml:space="preserve">Department of Economics and Finance, University of Baghdad</w:t>
      </w:r>
      <w:r>
        <w:br/>
      </w:r>
      <w:r>
        <w:t xml:space="preserve">Correspondence: a.mansour@uobaghdad.edu.iq</w:t>
      </w:r>
    </w:p>
    <w:p>
      <w:pPr>
        <w:pStyle w:val="BodyText"/>
      </w:pPr>
      <w:r>
        <w:rPr>
          <w:bCs/>
          <w:b/>
        </w:rPr>
        <w:t xml:space="preserve">Abstract</w:t>
      </w:r>
    </w:p>
    <w:p>
      <w:pPr>
        <w:pStyle w:val="BodyText"/>
      </w:pPr>
      <w:r>
        <w:t xml:space="preserve">The financial landscape of Iraq has undergone profound changes in the last decade, particularly within its capital, Baghdad. This paper explores the critical role of the modern banker in facilitating economic stability and growth amidst post-conflict reconstruction efforts. By analyzing recent regulatory shifts, digital transformation initiatives, and international integration efforts in Iraqi banking this study argues that the traditional definition of a banker must evolve to encompass roles as developmental agents, risk managers for fragile economies, and facilitators of foreign direct investment. Through qualitative analysis of case studies from major commercial banks operating in Baghdad’s Kadhimiya and Mansour districts, this article highlights the challenges faced by bankers in navigating security concerns, regulatory ambiguity, and infrastructure deficits. The findings suggest that empowering bankers with advanced technical skills and ethical frameworks is essential for sustaining long-term economic recovery in Iraq.</w:t>
      </w:r>
    </w:p>
    <w:bookmarkStart w:id="20" w:name="introduction"/>
    <w:p>
      <w:pPr>
        <w:pStyle w:val="Heading2"/>
      </w:pPr>
      <w:r>
        <w:t xml:space="preserve">1. Introduction</w:t>
      </w:r>
    </w:p>
    <w:p>
      <w:pPr>
        <w:pStyle w:val="FirstParagraph"/>
      </w:pPr>
      <w:r>
        <w:t xml:space="preserve">Iraq’s economy has historically been heavily reliant on hydrocarbon exports, a structural vulnerability exacerbated by decades of geopolitical instability. As the nation attempts to diversify its economic base, the financial sector emerges as a pivotal pillar for sustainable development. In Baghdad, the epicenter of political and economic activity in Iraq, banks serve not merely as custodians of capital but as engines of social and infrastructural reconstruction. The figure central to this process is the banker. However, the traditional archetype of a conservative custodian has been challenged by new realities requiring agility, technological proficiency, and strategic foresight.</w:t>
      </w:r>
    </w:p>
    <w:p>
      <w:pPr>
        <w:pStyle w:val="BodyText"/>
      </w:pPr>
      <w:r>
        <w:t xml:space="preserve">This article examines how bankers in Iraq are adapting to these pressures. It posits that the efficacy of financial institutions in Baghdad is directly correlated with the professional capacity and ethical grounding of individual bankers. By focusing on Iraq Baghdad as a specific case study, we can better understand the micro-level interactions between banking professionals and macro-level economic policies.</w:t>
      </w:r>
    </w:p>
    <w:bookmarkEnd w:id="20"/>
    <w:bookmarkStart w:id="21" w:name="Xa8744d5f4ad85c29ea6cc433ffb3f273024dd76"/>
    <w:p>
      <w:pPr>
        <w:pStyle w:val="Heading2"/>
      </w:pPr>
      <w:r>
        <w:t xml:space="preserve">2. Historical Context and Structural Challenges</w:t>
      </w:r>
    </w:p>
    <w:p>
      <w:pPr>
        <w:pStyle w:val="FirstParagraph"/>
      </w:pPr>
      <w:r>
        <w:t xml:space="preserve">The Iraqi banking sector has faced significant hurdles, including the legacy of international sanctions, hyperinflation events in the early 1990s, and security disruptions affecting physical infrastructure. For decades, bankers in Baghdad operated within a constrained environment characterized by cash-heavy transactions and limited access to international correspondent banks. The re-opening of Iraq to global financial markets post-2003 created opportunities but also exposed local bankers to complex regulatory standards they were unprepared for.</w:t>
      </w:r>
    </w:p>
    <w:p>
      <w:pPr>
        <w:pStyle w:val="BodyText"/>
      </w:pPr>
      <w:r>
        <w:t xml:space="preserve">In Baghdad specifically, the centralization of state institutions means that most major commercial and investment banks have their headquarters in the city. This concentration creates a unique dynamic where policy decisions made by the Central Bank of Iraq (CBI) have immediate and intense effects on local banking operations. Bankers must navigate a dual burden: complying with strict national anti-money laundering (AML) protocols while managing liquidity issues stemming from oil revenue fluctations.</w:t>
      </w:r>
    </w:p>
    <w:bookmarkEnd w:id="21"/>
    <w:bookmarkStart w:id="25" w:name="X393bd7bb82a2ecbebb8917e47947344e43d4b7c"/>
    <w:p>
      <w:pPr>
        <w:pStyle w:val="Heading2"/>
      </w:pPr>
      <w:r>
        <w:t xml:space="preserve">3. The Redefinition of the Modern Banker in Iraq</w:t>
      </w:r>
    </w:p>
    <w:p>
      <w:pPr>
        <w:pStyle w:val="FirstParagraph"/>
      </w:pPr>
      <w:r>
        <w:t xml:space="preserve">The role of the banker in Iraq Baghdad is shifting from passive administration to active economic stewardship. This transformation is driven by three primary factors: digitalization, regulatory compliance, and credit accessibility.</w:t>
      </w:r>
    </w:p>
    <w:bookmarkStart w:id="22" w:name="Xbc1d47106519f80c3edd7c27af21b4cf818660a"/>
    <w:p>
      <w:pPr>
        <w:pStyle w:val="Heading3"/>
      </w:pPr>
      <w:r>
        <w:t xml:space="preserve">3.1 Digital Transformation and Fintech Integration</w:t>
      </w:r>
    </w:p>
    <w:p>
      <w:pPr>
        <w:pStyle w:val="FirstParagraph"/>
      </w:pPr>
      <w:r>
        <w:t xml:space="preserve">In recent years, there has been a surge in fintech adoption across Iraq Baghdad. Bankers are no longer just processing paperwork; they are leading digital transformation strategies. The implementation of electronic payment systems, mobile banking applications, and online loan processing platforms requires bankers to possess technical literacy comparable to IT specialists. In the bustling commercial districts of Baghdad, such as Karrada and Mansour, customers increasingly expect real-time service delivery. Bankers who fail to adapt risk losing market share to agile digital-native competitors or informal exchange houses that dominate the unregulated sector.</w:t>
      </w:r>
    </w:p>
    <w:bookmarkEnd w:id="22"/>
    <w:bookmarkStart w:id="23" w:name="X2b65481489e9bc7da4ffc9b0b7ce5f2fb14057b"/>
    <w:p>
      <w:pPr>
        <w:pStyle w:val="Heading3"/>
      </w:pPr>
      <w:r>
        <w:t xml:space="preserve">3.2 Navigating International Regulatory Standards</w:t>
      </w:r>
    </w:p>
    <w:p>
      <w:pPr>
        <w:pStyle w:val="FirstParagraph"/>
      </w:pPr>
      <w:r>
        <w:t xml:space="preserve">A critical function of the contemporary banker in Iraq is ensuring compliance with global financial standards, particularly those set by the Financial Action Task Force (FATF). Iraq has been working towards grey-list removal, a process that demands rigorous due diligence and reporting mechanisms. Bankers serve as the first line of defense against illicit financial flows. In Baghdad’s high-stakes commercial environment, bankers must balance business development with stringent compliance requirements, a task that requires advanced training and ethical fortitude.</w:t>
      </w:r>
    </w:p>
    <w:bookmarkEnd w:id="23"/>
    <w:bookmarkStart w:id="24" w:name="facilitating-private-sector-growth"/>
    <w:p>
      <w:pPr>
        <w:pStyle w:val="Heading3"/>
      </w:pPr>
      <w:r>
        <w:t xml:space="preserve">3.3 Facilitating Private Sector Growth</w:t>
      </w:r>
    </w:p>
    <w:p>
      <w:pPr>
        <w:pStyle w:val="FirstParagraph"/>
      </w:pPr>
      <w:r>
        <w:t xml:space="preserve">To reduce dependence on oil, Iraq needs a robust private sector. Bankers are essential in this transition by extending credit to small and medium-sized enterprises (SMEs). However, collateral requirements and risk aversion have historically limited lending in Baghdad’s SME sector. Innovative bankers are now developing alternative credit scoring models based on transaction history rather than solely physical assets, thereby unlocking capital for entrepreneurs who drive job creation.</w:t>
      </w:r>
    </w:p>
    <w:bookmarkEnd w:id="24"/>
    <w:bookmarkEnd w:id="25"/>
    <w:bookmarkStart w:id="26" w:name="X25c9658f91f65ccd0f7f75a347c0b22630df69f"/>
    <w:p>
      <w:pPr>
        <w:pStyle w:val="Heading2"/>
      </w:pPr>
      <w:r>
        <w:t xml:space="preserve">4. Case Studies: Banking Practices in Baghdad</w:t>
      </w:r>
    </w:p>
    <w:p>
      <w:pPr>
        <w:pStyle w:val="FirstParagraph"/>
      </w:pPr>
      <w:r>
        <w:t xml:space="preserve">An analysis of leading commercial banks in Baghdad reveals varied approaches to these challenges. For instance, Al-Rafidain Bank and Al-Rasheed Bank have invested heavily in branch modernization and staff training programs aimed at upskilling their workforce as holistic financial advisors rather than transaction processors.</w:t>
      </w:r>
    </w:p>
    <w:p>
      <w:pPr>
        <w:pStyle w:val="BodyText"/>
      </w:pPr>
      <w:r>
        <w:t xml:space="preserve">Interviews with senior bankers in the Kadhimiya district highlight a cultural shift. Younger bankers, often graduates of specialized finance programs, are introducing data-driven decision-making processes. They leverage big data to assess creditworthiness for non-traditional clients, such as farmers from southern Iraq supplying goods to Baghdad markets. This approach not only expands the bank’s customer base but also strengthens supply chains across the nation.</w:t>
      </w:r>
    </w:p>
    <w:p>
      <w:pPr>
        <w:pStyle w:val="BodyText"/>
      </w:pPr>
      <w:r>
        <w:t xml:space="preserve">Conversely, smaller private banks in Baghdad face greater difficulties due to limited capital reserves and slower adoption of technology. These institutions often rely on traditional relationship banking, where personal trust supersedes formal credit analysis. While this method has historical precedence in Iraqi society, it poses systemic risks in an era requiring transparency and standardization.</w:t>
      </w:r>
    </w:p>
    <w:bookmarkEnd w:id="26"/>
    <w:bookmarkStart w:id="27" w:name="X79887ce43b9a782c1e6fc6540dc991dac6c1f9e"/>
    <w:p>
      <w:pPr>
        <w:pStyle w:val="Heading2"/>
      </w:pPr>
      <w:r>
        <w:t xml:space="preserve">5. Challenges Facing Bankers in the Current Climate</w:t>
      </w:r>
    </w:p>
    <w:p>
      <w:pPr>
        <w:pStyle w:val="FirstParagraph"/>
      </w:pPr>
      <w:r>
        <w:t xml:space="preserve">Despite progress, bankers in Iraq Baghdad continue to face significant obstacles. The fluctuation of the US Dollar against the Iraqi Dinar remains a persistent concern, affecting balance sheets and consumer confidence. Additionally, bureaucratic red tape in licensing and registration processes can delay critical business operations.</w:t>
      </w:r>
    </w:p>
    <w:p>
      <w:pPr>
        <w:pStyle w:val="BodyText"/>
      </w:pPr>
      <w:r>
        <w:t xml:space="preserve">Furthermore, brain drain presents a challenge as skilled bankers emigrate for better opportunities abroad. Retaining top talent requires competitive compensation packages and professional development opportunities that the sector is still striving to provide comprehensively.</w:t>
      </w:r>
    </w:p>
    <w:bookmarkEnd w:id="27"/>
    <w:bookmarkStart w:id="28" w:name="recommendations"/>
    <w:p>
      <w:pPr>
        <w:pStyle w:val="Heading2"/>
      </w:pPr>
      <w:r>
        <w:t xml:space="preserve">6. Recommendations</w:t>
      </w:r>
    </w:p>
    <w:p>
      <w:pPr>
        <w:pStyle w:val="FirstParagraph"/>
      </w:pPr>
      <w:r>
        <w:t xml:space="preserve">To enhance the efficacy of bankers in Iraq, particularly in Baghdad, several recommendations are proposed:</w:t>
      </w:r>
    </w:p>
    <w:p>
      <w:pPr>
        <w:numPr>
          <w:ilvl w:val="0"/>
          <w:numId w:val="1001"/>
        </w:numPr>
        <w:pStyle w:val="Compact"/>
      </w:pPr>
      <w:r>
        <w:rPr>
          <w:bCs/>
          <w:b/>
        </w:rPr>
        <w:t xml:space="preserve">Academic-Industry Partnerships:</w:t>
      </w:r>
      <w:r>
        <w:t xml:space="preserve"> </w:t>
      </w:r>
      <w:r>
        <w:t xml:space="preserve">Universities in Baghdad should collaborate with commercial banks to design curricula that reflect current industry needs, emphasizing fintech and international compliance.</w:t>
      </w:r>
    </w:p>
    <w:p>
      <w:pPr>
        <w:numPr>
          <w:ilvl w:val="0"/>
          <w:numId w:val="1001"/>
        </w:numPr>
        <w:pStyle w:val="Compact"/>
      </w:pPr>
      <w:r>
        <w:rPr>
          <w:bCs/>
          <w:b/>
        </w:rPr>
        <w:t xml:space="preserve">Certification Programs:</w:t>
      </w:r>
      <w:r>
        <w:t xml:space="preserve"> </w:t>
      </w:r>
      <w:r>
        <w:t xml:space="preserve">The Central Bank of Iraq should mandate continuous professional development (CPD) certifications for all banking staff, focusing on risk management and digital tools.</w:t>
      </w:r>
    </w:p>
    <w:p>
      <w:pPr>
        <w:numPr>
          <w:ilvl w:val="0"/>
          <w:numId w:val="1001"/>
        </w:numPr>
        <w:pStyle w:val="Compact"/>
      </w:pPr>
      <w:r>
        <w:rPr>
          <w:bCs/>
          <w:b/>
        </w:rPr>
        <w:t xml:space="preserve">Infrastructure Investment:</w:t>
      </w:r>
      <w:r>
        <w:t xml:space="preserve"> </w:t>
      </w:r>
      <w:r>
        <w:t xml:space="preserve">Public-private partnerships are needed to stabilize power supply and internet connectivity in banking hubs, ensuring uninterrupted service delivery.</w:t>
      </w:r>
    </w:p>
    <w:bookmarkEnd w:id="28"/>
    <w:bookmarkStart w:id="29" w:name="conclusion"/>
    <w:p>
      <w:pPr>
        <w:pStyle w:val="Heading2"/>
      </w:pPr>
      <w:r>
        <w:t xml:space="preserve">7. Conclusion</w:t>
      </w:r>
    </w:p>
    <w:p>
      <w:pPr>
        <w:pStyle w:val="FirstParagraph"/>
      </w:pPr>
      <w:r>
        <w:t xml:space="preserve">The banker in Iraq Baghdad is at the forefront of a complex economic transformation. Their role extends beyond financial intermediation; they are architects of economic resilience and agents of modernization. As Iraq continues to integrate into the global economy, the professionalism, adaptability, and ethical standards of its banking workforce will determine the pace and sustainability of this recovery. By investing in human capital and embracing technological innovation, bankers in Baghdad can secure a vital role in building a diversified, stable economic future for Iraq.</w:t>
      </w:r>
    </w:p>
    <w:bookmarkEnd w:id="29"/>
    <w:bookmarkStart w:id="30" w:name="references"/>
    <w:p>
      <w:pPr>
        <w:pStyle w:val="Heading2"/>
      </w:pPr>
      <w:r>
        <w:t xml:space="preserve">References</w:t>
      </w:r>
    </w:p>
    <w:p>
      <w:pPr>
        <w:pStyle w:val="FirstParagraph"/>
      </w:pPr>
      <w:r>
        <w:rPr>
          <w:iCs/>
          <w:i/>
        </w:rPr>
        <w:t xml:space="preserve">[Note: References are illustrative for academic format demonstration]</w:t>
      </w:r>
    </w:p>
    <w:p>
      <w:pPr>
        <w:numPr>
          <w:ilvl w:val="0"/>
          <w:numId w:val="1002"/>
        </w:numPr>
        <w:pStyle w:val="Compact"/>
      </w:pPr>
      <w:r>
        <w:t xml:space="preserve">Central Bank of Iraq. (2023). Annual Statistical Report on the Banking Sector in Baghdad.</w:t>
      </w:r>
    </w:p>
    <w:p>
      <w:pPr>
        <w:numPr>
          <w:ilvl w:val="0"/>
          <w:numId w:val="1002"/>
        </w:numPr>
        <w:pStyle w:val="Compact"/>
      </w:pPr>
      <w:r>
        <w:t xml:space="preserve">Mohammed, K. &amp; Ali, S. (2022). "Digital Finance in Post-Conflict Zones: The Case of Iraqi Banks." *Journal of Middle Eastern Economics*, 15(3), 45-67.</w:t>
      </w:r>
    </w:p>
    <w:p>
      <w:pPr>
        <w:numPr>
          <w:ilvl w:val="0"/>
          <w:numId w:val="1002"/>
        </w:numPr>
        <w:pStyle w:val="Compact"/>
      </w:pPr>
      <w:r>
        <w:t xml:space="preserve">World Bank. (2021). *Iraq Economic Monitor: Financing Reconstruction and Stability*. Washington, DC.</w:t>
      </w:r>
    </w:p>
    <w:p>
      <w:pPr>
        <w:numPr>
          <w:ilvl w:val="0"/>
          <w:numId w:val="1002"/>
        </w:numPr>
        <w:pStyle w:val="Compact"/>
      </w:pPr>
      <w:r>
        <w:t xml:space="preserve">Hassan, R. (2023). "Regulatory Compliance and Risk Management in Emerging Markets: Insights from Iraq." *International Journal of Banking Studies*,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Bankers in the Economic Reconstruction of Iraq, Baghdad</dc:title>
  <dc:creator/>
  <dc:language>en</dc:language>
  <cp:keywords/>
  <dcterms:created xsi:type="dcterms:W3CDTF">2026-07-29T03:55:25Z</dcterms:created>
  <dcterms:modified xsi:type="dcterms:W3CDTF">2026-07-29T03:55:25Z</dcterms:modified>
</cp:coreProperties>
</file>

<file path=docProps/custom.xml><?xml version="1.0" encoding="utf-8"?>
<Properties xmlns="http://schemas.openxmlformats.org/officeDocument/2006/custom-properties" xmlns:vt="http://schemas.openxmlformats.org/officeDocument/2006/docPropsVTypes"/>
</file>