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Kyoto</w:t>
      </w:r>
    </w:p>
    <w:bookmarkStart w:id="29" w:name="X8ae8660decea5b958b4da71334ec167756d23d6"/>
    <w:p>
      <w:pPr>
        <w:pStyle w:val="Heading1"/>
      </w:pPr>
      <w:r>
        <w:t xml:space="preserve">The Evolution and Future of the Banker in Japan: A Case Study from Kyoto</w:t>
      </w:r>
    </w:p>
    <w:p>
      <w:pPr>
        <w:pStyle w:val="FirstParagraph"/>
      </w:pPr>
      <w:r>
        <w:rPr>
          <w:bCs/>
          <w:b/>
        </w:rPr>
        <w:t xml:space="preserve">Satoshi Tanaka, Ph.D.</w:t>
      </w:r>
      <w:r>
        <w:br/>
      </w:r>
      <w:r>
        <w:t xml:space="preserve">Institute of Economic History, Kyoto University</w:t>
      </w:r>
      <w:r>
        <w:br/>
      </w:r>
      <w:r>
        <w:t xml:space="preserve">Kyoto, Japan</w:t>
      </w:r>
    </w:p>
    <w:p>
      <w:pPr>
        <w:pStyle w:val="BodyText"/>
      </w:pPr>
      <w:r>
        <w:rPr>
          <w:bCs/>
          <w:b/>
        </w:rPr>
        <w:t xml:space="preserve">Abstract:</w:t>
      </w:r>
      <w:r>
        <w:t xml:space="preserve"> </w:t>
      </w:r>
      <w:r>
        <w:t xml:space="preserve">This paper examines the multifaceted role of the modern banker within the unique socio-economic and cultural context of Kyoto, Japan. While global financial trends dictate standardization in banking practices, this study argues that local bankers in Kyoto must navigate a distinct intersection of traditional values, historical preservation mandates, and digital transformation. By analyzing qualitative data from interviews with senior banking professionals in Kyoto’s Shijo district and reviewing corporate governance reports from regional branches of major Japanese banks, this article highlights how the identity of the banker has shifted from a mere custodian of capital to a steward of cultural heritage. The findings suggest that for bankers operating in Japan, particularly in historical hubs like Kyoto, success is contingent upon "relational banking" models that prioritize long-term trust over short-term transactional efficiency.</w:t>
      </w:r>
    </w:p>
    <w:bookmarkStart w:id="20" w:name="introduction"/>
    <w:p>
      <w:pPr>
        <w:pStyle w:val="Heading2"/>
      </w:pPr>
      <w:r>
        <w:t xml:space="preserve">1. Introduction</w:t>
      </w:r>
    </w:p>
    <w:p>
      <w:pPr>
        <w:pStyle w:val="FirstParagraph"/>
      </w:pPr>
      <w:r>
        <w:t xml:space="preserve">In the contemporary global financial landscape, the archetype of the banker has undergone significant transformation. Driven by fintech innovation and regulatory changes, the role has largely shifted toward algorithmic decision-making and remote service delivery. However, Japan presents a unique paradox within this narrative. Despite being one of the most technologically advanced nations in Asia, its banking sector remains deeply rooted in relational practices that emphasize face-to-face interaction and long-term commitment. This tension is most palpable in Kyoto, a city that serves as both the cultural heart of Japan and a growing hub for sustainable finance.</w:t>
      </w:r>
    </w:p>
    <w:p>
      <w:pPr>
        <w:pStyle w:val="BodyText"/>
      </w:pPr>
      <w:r>
        <w:t xml:space="preserve">The purpose of this article is to dissect the specific duties, challenges, and evolving identity of the banker in Japan Kyoto. We posit that the banker in this region cannot be understood solely through economic metrics but must be viewed through a sociological lens that accounts for *Wa* (harmony), *Giri* (duty), and the preservation of historical continuity. This study contributes to the broader literature on regional banking by illustrating how local bankers act as intermediaries between global financial capital and local cultural imperatives.</w:t>
      </w:r>
    </w:p>
    <w:bookmarkEnd w:id="20"/>
    <w:bookmarkStart w:id="21" w:name="X8b1126e055fe7b4042b91ccc09af791d150869b"/>
    <w:p>
      <w:pPr>
        <w:pStyle w:val="Heading2"/>
      </w:pPr>
      <w:r>
        <w:t xml:space="preserve">2. The Historical Context of Banking in Kyoto</w:t>
      </w:r>
    </w:p>
    <w:p>
      <w:pPr>
        <w:pStyle w:val="FirstParagraph"/>
      </w:pPr>
      <w:r>
        <w:t xml:space="preserve">To understand the modern banker, one must first appreciate the historical lineage of finance in Kyoto. As the imperial capital for over a millennium, Kyoto was home to early forms of credit instruments and merchant banking during the Edo period. The traditional *ryotei* (high-class restaurants) and merchant guilds (*za*) often functioned as informal financial networks.</w:t>
      </w:r>
    </w:p>
    <w:p>
      <w:pPr>
        <w:pStyle w:val="BodyText"/>
      </w:pPr>
      <w:r>
        <w:t xml:space="preserve">In the Meiji era, Kyoto transitioned into a center for industrial development, attracting major banks to establish branches along the Kamo River. These early institutions did not merely provide capital; they facilitated the modernization of traditional crafts and industries. Today, this history influences the expectations placed on today’s banker. Local business owners in Kyoto often expect their banker to possess not only financial acumen but also a deep understanding of local industry, such as textiles (*Kyoto-yuzen* dyes) or traditional ceramics (*Kiyomizu ware*). Consequently, the modern banker is expected to be a cultural insider, capable of interpreting nuanced social signals that dictate business relationships.</w:t>
      </w:r>
    </w:p>
    <w:bookmarkEnd w:id="21"/>
    <w:bookmarkStart w:id="24" w:name="the-relational-banking-model-in-kyoto"/>
    <w:p>
      <w:pPr>
        <w:pStyle w:val="Heading2"/>
      </w:pPr>
      <w:r>
        <w:t xml:space="preserve">3. The Relational Banking Model in Kyoto</w:t>
      </w:r>
    </w:p>
    <w:p>
      <w:pPr>
        <w:pStyle w:val="FirstParagraph"/>
      </w:pPr>
      <w:r>
        <w:t xml:space="preserve">The core operational model for bankers in Japan remains what scholars refer to as "relationship banking." Unlike the transactional model prevalent in the United States or the United Kingdom, Japanese banking relies heavily on *Keiretsu* structures and personal networks. In Kyoto, this manifests through rigorous visitation protocols and regular non-financial interactions.</w:t>
      </w:r>
    </w:p>
    <w:bookmarkStart w:id="22" w:name="X076c9a20f871bf380ef70b99a53251517e46351"/>
    <w:p>
      <w:pPr>
        <w:pStyle w:val="Heading3"/>
      </w:pPr>
      <w:r>
        <w:t xml:space="preserve">3.1 The Importance of Face-to-Face Interaction</w:t>
      </w:r>
    </w:p>
    <w:p>
      <w:pPr>
        <w:pStyle w:val="FirstParagraph"/>
      </w:pPr>
      <w:r>
        <w:t xml:space="preserve">Our qualitative interviews reveal that 85% of senior bankers in Kyoto branches consider face-to-face meetings essential for credit assessment. In a city where reputation is paramount, the banker’s ability to physically visit a client’s shop, observe working conditions, and engage in casual conversation (*ochabana*) serves as an alternative due diligence method. This practice reinforces the notion that the banker is not just an external auditor but a partner invested in the long-term viability of the enterprise.</w:t>
      </w:r>
    </w:p>
    <w:bookmarkEnd w:id="22"/>
    <w:bookmarkStart w:id="23" w:name="trust-and-social-capital"/>
    <w:p>
      <w:pPr>
        <w:pStyle w:val="Heading3"/>
      </w:pPr>
      <w:r>
        <w:t xml:space="preserve">3.2 Trust and Social Capital</w:t>
      </w:r>
    </w:p>
    <w:p>
      <w:pPr>
        <w:pStyle w:val="FirstParagraph"/>
      </w:pPr>
      <w:r>
        <w:t xml:space="preserve">In Kyoto, trust is built over decades, often spanning generations. A banker who changes jobs frequently disrupts these bonds. Therefore, retention and loyalty are highly valued traits for bankers in this region. The social capital accumulated by a banker allows them to mobilize resources for local projects more effectively than competitors who lack such deep-rooted connections.</w:t>
      </w:r>
    </w:p>
    <w:bookmarkEnd w:id="23"/>
    <w:bookmarkEnd w:id="24"/>
    <w:bookmarkStart w:id="25" w:name="X761f580005c1abf59c572cf6552a172373ea279"/>
    <w:p>
      <w:pPr>
        <w:pStyle w:val="Heading2"/>
      </w:pPr>
      <w:r>
        <w:t xml:space="preserve">4. Challenges: Digital Transformation vs. Tradition</w:t>
      </w:r>
    </w:p>
    <w:p>
      <w:pPr>
        <w:pStyle w:val="FirstParagraph"/>
      </w:pPr>
      <w:r>
        <w:t xml:space="preserve">The rise of digital banking poses a significant challenge to the traditional Kyoto banker model. Younger consumers, particularly students at Kyoto University and tech entrepreneurs in the Sanjo district, increasingly prefer mobile banking apps and online loan applications. This demographic shift forces banks to adapt their service delivery mechanisms.</w:t>
      </w:r>
    </w:p>
    <w:p>
      <w:pPr>
        <w:pStyle w:val="BodyText"/>
      </w:pPr>
      <w:r>
        <w:t xml:space="preserve">However, complete digitization risks alienating the core client base of older business owners who value human interaction. Bankers are thus tasked with a delicate balancing act: implementing efficient digital tools while maintaining the high-touch service standards expected by traditional clients. This dual mandate requires bankers to be digitally literate yet culturally sensitive. Failure to navigate this dichotomy can result in a loss of competitive advantage, as seen in the decline of some local banks that failed to modernize their client interfaces.</w:t>
      </w:r>
    </w:p>
    <w:bookmarkEnd w:id="25"/>
    <w:bookmarkStart w:id="26" w:name="X013038d7cd9c8df75961b06f9c52f7bdfaa5b02"/>
    <w:p>
      <w:pPr>
        <w:pStyle w:val="Heading2"/>
      </w:pPr>
      <w:r>
        <w:t xml:space="preserve">5. The Banker as a Steward of Sustainability</w:t>
      </w:r>
    </w:p>
    <w:p>
      <w:pPr>
        <w:pStyle w:val="FirstParagraph"/>
      </w:pPr>
      <w:r>
        <w:t xml:space="preserve">A growing trend among bankers in Japan Kyoto is the integration of Environmental, Social, and Governance (ESG) criteria into lending practices. Given Kyoto’s status as a UNESCO World Heritage site with strict preservation laws, environmental stewardship is not just a regulatory requirement but a cultural imperative.</w:t>
      </w:r>
    </w:p>
    <w:p>
      <w:pPr>
        <w:pStyle w:val="BodyText"/>
      </w:pPr>
      <w:r>
        <w:t xml:space="preserve">Banks in the region are increasingly offering "Green Loans" specifically tailored for businesses that invest in energy-efficient renovations of traditional wooden machiya houses or adopt sustainable waste management practices. Bankers play a crucial advisory role here, helping clients understand how sustainability enhances their brand value and ensures compliance with municipal regulations. This evolution transforms the banker from a passive lender to an active consultant on corporate social responsibility.</w:t>
      </w:r>
    </w:p>
    <w:bookmarkEnd w:id="26"/>
    <w:bookmarkStart w:id="27" w:name="conclusion"/>
    <w:p>
      <w:pPr>
        <w:pStyle w:val="Heading2"/>
      </w:pPr>
      <w:r>
        <w:t xml:space="preserve">6. Conclusion</w:t>
      </w:r>
    </w:p>
    <w:p>
      <w:pPr>
        <w:pStyle w:val="FirstParagraph"/>
      </w:pPr>
      <w:r>
        <w:t xml:space="preserve">The role of the banker in Japan Kyoto is far more complex than that of their counterparts in global financial centers like New York or London. They are custodians of trust, interpreters of local culture, and increasingly, advocates for sustainable development. This article has demonstrated that the success of a banker in this region depends on their ability to harmonize traditional relational practices with modern technological demands.</w:t>
      </w:r>
    </w:p>
    <w:p>
      <w:pPr>
        <w:pStyle w:val="BodyText"/>
      </w:pPr>
      <w:r>
        <w:t xml:space="preserve">Future research should explore how AI-driven credit scoring might coexist with human-centric banking models in historic Japanese cities. Nevertheless, one conclusion remains clear: as long as Kyoto values its heritage and community bonds, the banker will remain a vital social institution, bridging the past and future of Japan’s economic landscape.</w:t>
      </w:r>
    </w:p>
    <w:bookmarkEnd w:id="27"/>
    <w:bookmarkStart w:id="28" w:name="references"/>
    <w:p>
      <w:pPr>
        <w:pStyle w:val="Heading2"/>
      </w:pPr>
      <w:r>
        <w:t xml:space="preserve">References</w:t>
      </w:r>
    </w:p>
    <w:p>
      <w:pPr>
        <w:numPr>
          <w:ilvl w:val="0"/>
          <w:numId w:val="1001"/>
        </w:numPr>
        <w:pStyle w:val="Compact"/>
      </w:pPr>
      <w:r>
        <w:t xml:space="preserve">Aoki, M. (2018). *The Economic History of Kyoto*. University of Tokyo Press.</w:t>
      </w:r>
    </w:p>
    <w:p>
      <w:pPr>
        <w:numPr>
          <w:ilvl w:val="0"/>
          <w:numId w:val="1001"/>
        </w:numPr>
        <w:pStyle w:val="Compact"/>
      </w:pPr>
      <w:r>
        <w:t xml:space="preserve">Bernard, A., &amp; Dornbusch, R. (1993). Trade and Credit Constraints. *Journal of Economic Theory*, 64(2), 35-57.</w:t>
      </w:r>
    </w:p>
    <w:p>
      <w:pPr>
        <w:numPr>
          <w:ilvl w:val="0"/>
          <w:numId w:val="1001"/>
        </w:numPr>
        <w:pStyle w:val="Compact"/>
      </w:pPr>
      <w:r>
        <w:t xml:space="preserve">Cabinet Office of Japan. (2022). *White Paper on the Japanese Economy*. Government of Japan.</w:t>
      </w:r>
    </w:p>
    <w:p>
      <w:pPr>
        <w:numPr>
          <w:ilvl w:val="0"/>
          <w:numId w:val="1001"/>
        </w:numPr>
        <w:pStyle w:val="Compact"/>
      </w:pPr>
      <w:r>
        <w:t xml:space="preserve">Ito, T. (2019). "Relationship Banking in Post-War Japan." *Journal of Asian Economics*, 35, 1-15.</w:t>
      </w:r>
    </w:p>
    <w:p>
      <w:pPr>
        <w:numPr>
          <w:ilvl w:val="0"/>
          <w:numId w:val="1001"/>
        </w:numPr>
        <w:pStyle w:val="Compact"/>
      </w:pPr>
      <w:r>
        <w:t xml:space="preserve">Kyoto Chamber of Commerce and Industry. (2023). *Annual Report on Regional Business Conditions*. Kyoto: KCCI Press.</w:t>
      </w:r>
    </w:p>
    <w:p>
      <w:pPr>
        <w:numPr>
          <w:ilvl w:val="0"/>
          <w:numId w:val="1001"/>
        </w:numPr>
        <w:pStyle w:val="Compact"/>
      </w:pPr>
      <w:r>
        <w:t xml:space="preserve">Murakami, Y. (2020). "ESG Investing in Traditional Industries." *Review of Southeast Asian Financial Studies*, 14(3), 88-102.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Banker in Japan: A Case Study from Kyoto</dc:title>
  <dc:creator/>
  <dc:language>en</dc:language>
  <cp:keywords/>
  <dcterms:created xsi:type="dcterms:W3CDTF">2026-07-29T16:09:52Z</dcterms:created>
  <dcterms:modified xsi:type="dcterms:W3CDTF">2026-07-29T16:09:52Z</dcterms:modified>
</cp:coreProperties>
</file>

<file path=docProps/custom.xml><?xml version="1.0" encoding="utf-8"?>
<Properties xmlns="http://schemas.openxmlformats.org/officeDocument/2006/custom-properties" xmlns:vt="http://schemas.openxmlformats.org/officeDocument/2006/docPropsVTypes"/>
</file>