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Kazakhstan’s</w:t>
      </w:r>
      <w:r>
        <w:t xml:space="preserve"> </w:t>
      </w:r>
      <w:r>
        <w:t xml:space="preserve">Almaty:</w:t>
      </w:r>
      <w:r>
        <w:t xml:space="preserve"> </w:t>
      </w:r>
      <w:r>
        <w:t xml:space="preserve">Strategic</w:t>
      </w:r>
      <w:r>
        <w:t xml:space="preserve"> </w:t>
      </w:r>
      <w:r>
        <w:t xml:space="preserve">Adaptation</w:t>
      </w:r>
      <w:r>
        <w:t xml:space="preserve"> </w:t>
      </w:r>
      <w:r>
        <w:t xml:space="preserve">and</w:t>
      </w:r>
      <w:r>
        <w:t xml:space="preserve"> </w:t>
      </w:r>
      <w:r>
        <w:t xml:space="preserve">Digital</w:t>
      </w:r>
      <w:r>
        <w:t xml:space="preserve"> </w:t>
      </w:r>
      <w:r>
        <w:t xml:space="preserve">Transformation</w:t>
      </w:r>
    </w:p>
    <w:bookmarkStart w:id="28" w:name="X9129ebc51e21184ffe9485dd1ce79ee75102eb4"/>
    <w:p>
      <w:pPr>
        <w:pStyle w:val="Heading1"/>
      </w:pPr>
      <w:r>
        <w:t xml:space="preserve">The Evolving Role of the Banker in Kazakhstan’s Almaty:</w:t>
      </w:r>
      <w:r>
        <w:br/>
      </w:r>
      <w:r>
        <w:t xml:space="preserve">Strategic Adaptation and Digital Transformation</w:t>
      </w:r>
    </w:p>
    <w:p>
      <w:pPr>
        <w:pStyle w:val="FirstParagraph"/>
      </w:pPr>
      <w:r>
        <w:t xml:space="preserve">Dr. Alexander Volkov</w:t>
      </w:r>
      <w:r>
        <w:br/>
      </w:r>
      <w:r>
        <w:t xml:space="preserve">Department of Financial Economics, Al-Farabi Kazakh National University, Almaty, Kazakhstan</w:t>
      </w:r>
    </w:p>
    <w:bookmarkStart w:id="20" w:name="abstract"/>
    <w:p>
      <w:pPr>
        <w:pStyle w:val="Heading2"/>
      </w:pPr>
      <w:r>
        <w:t xml:space="preserve">Abstract</w:t>
      </w:r>
    </w:p>
    <w:p>
      <w:pPr>
        <w:pStyle w:val="FirstParagraph"/>
      </w:pPr>
      <w:r>
        <w:t xml:space="preserve">This paper examines the transformative trajectory of the banking sector in Kazakhstan’s primary economic hub, Almaty. As a central node in Central Asia’s financial infrastructure, Almaty serves as a critical laboratory for observing how traditional banking roles are being redefined by digitalization, regulatory shifts, and global market integration. The study specifically focuses on the role of the</w:t>
      </w:r>
      <w:r>
        <w:t xml:space="preserve"> </w:t>
      </w:r>
      <w:r>
        <w:rPr>
          <w:bCs/>
          <w:b/>
        </w:rPr>
        <w:t xml:space="preserve">Banker</w:t>
      </w:r>
      <w:r>
        <w:t xml:space="preserve">, analyzing how professionals in this sector must balance compliance with innovation. By utilizing case studies from major financial institutions headquartered in Almaty, this article argues that the modern banker is no longer merely a custodian of capital but a strategic advisor and technological intermediary. The findings suggest that while digital tools automate routine transactions, the human element remains indispensable for complex decision-making, risk management, and maintaining trust within the diverse cultural context of</w:t>
      </w:r>
      <w:r>
        <w:t xml:space="preserve"> </w:t>
      </w:r>
      <w:r>
        <w:rPr>
          <w:bCs/>
          <w:b/>
        </w:rPr>
        <w:t xml:space="preserve">Kazakhstan Almaty</w:t>
      </w:r>
      <w:r>
        <w:t xml:space="preserve">.</w:t>
      </w:r>
    </w:p>
    <w:bookmarkEnd w:id="20"/>
    <w:bookmarkStart w:id="21" w:name="introduction"/>
    <w:p>
      <w:pPr>
        <w:pStyle w:val="Heading2"/>
      </w:pPr>
      <w:r>
        <w:t xml:space="preserve">1. Introduction</w:t>
      </w:r>
    </w:p>
    <w:p>
      <w:pPr>
        <w:pStyle w:val="FirstParagraph"/>
      </w:pPr>
      <w:r>
        <w:t xml:space="preserve">The financial landscape of Central Asia is undergoing a period of unprecedented change, driven by global economic integration and rapid technological advancement. At the heart of this transformation lies Kazakhstan, a nation striving to diversify its economy beyond hydrocarbon dependence. Within this national context, Almaty stands out as the undisputed commercial capital. Unlike Astana, which serves as the administrative and political center,</w:t>
      </w:r>
      <w:r>
        <w:t xml:space="preserve"> </w:t>
      </w:r>
      <w:r>
        <w:rPr>
          <w:bCs/>
          <w:b/>
        </w:rPr>
        <w:t xml:space="preserve">Kazakhstan Almaty</w:t>
      </w:r>
      <w:r>
        <w:t xml:space="preserve"> </w:t>
      </w:r>
      <w:r>
        <w:t xml:space="preserve">is where capital flows are most visible and where the density of financial institutions is highest. Consequently, understanding the dynamics of banking in this city provides crucial insights into broader regional economic trends.</w:t>
      </w:r>
    </w:p>
    <w:p>
      <w:pPr>
        <w:pStyle w:val="BodyText"/>
      </w:pPr>
      <w:r>
        <w:t xml:space="preserve">The central thesis of this article posits that the traditional definition of a</w:t>
      </w:r>
      <w:r>
        <w:t xml:space="preserve"> </w:t>
      </w:r>
      <w:r>
        <w:rPr>
          <w:bCs/>
          <w:b/>
        </w:rPr>
        <w:t xml:space="preserve">Banker</w:t>
      </w:r>
      <w:r>
        <w:t xml:space="preserve"> </w:t>
      </w:r>
      <w:r>
        <w:t xml:space="preserve">is insufficient for describing contemporary practices in Almaty’s competitive market. Historically, bankers were viewed primarily as gatekeepers of credit, responsible for assessing risk and allocating capital based on tangible assets. However, in the current era characterized by fintech disruption and shifting regulatory frameworks under the National Bank of Kazakhstan (NBK), the scope of responsibility has expanded significantly. This article explores how</w:t>
      </w:r>
      <w:r>
        <w:t xml:space="preserve"> </w:t>
      </w:r>
      <w:r>
        <w:rPr>
          <w:bCs/>
          <w:b/>
        </w:rPr>
        <w:t xml:space="preserve">Bankers</w:t>
      </w:r>
      <w:r>
        <w:t xml:space="preserve"> </w:t>
      </w:r>
      <w:r>
        <w:t xml:space="preserve">operating in</w:t>
      </w:r>
      <w:r>
        <w:t xml:space="preserve"> </w:t>
      </w:r>
      <w:r>
        <w:rPr>
          <w:bCs/>
          <w:b/>
        </w:rPr>
        <w:t xml:space="preserve">Kazakhstan Almaty</w:t>
      </w:r>
      <w:r>
        <w:t xml:space="preserve"> </w:t>
      </w:r>
      <w:r>
        <w:t xml:space="preserve">are adapting to these pressures, emphasizing the necessity for digital literacy, cross-cultural competence, and strategic foresight.</w:t>
      </w:r>
    </w:p>
    <w:bookmarkEnd w:id="21"/>
    <w:bookmarkStart w:id="22" w:name="X0c008627b8370e822435b4ab72a9495604a9d32"/>
    <w:p>
      <w:pPr>
        <w:pStyle w:val="Heading2"/>
      </w:pPr>
      <w:r>
        <w:t xml:space="preserve">2. The Context of Banking in Kazakhstan Almaty</w:t>
      </w:r>
    </w:p>
    <w:p>
      <w:pPr>
        <w:pStyle w:val="FirstParagraph"/>
      </w:pPr>
      <w:r>
        <w:t xml:space="preserve">To understand the modern role of the banker, one must first appreciate the unique environment of Almaty. As a major hub for trade between Europe and Asia,</w:t>
      </w:r>
      <w:r>
        <w:t xml:space="preserve"> </w:t>
      </w:r>
      <w:r>
        <w:rPr>
          <w:bCs/>
          <w:b/>
        </w:rPr>
        <w:t xml:space="preserve">Kazakhstan Almaty</w:t>
      </w:r>
      <w:r>
        <w:t xml:space="preserve"> </w:t>
      </w:r>
      <w:r>
        <w:t xml:space="preserve">attracts a diverse range of international investors and local entrepreneurs. The city’s banking sector is dominated by a few large systemic banks, alongside numerous specialized institutions focusing on small and medium-sized enterprises (SMEs) and retail banking.</w:t>
      </w:r>
    </w:p>
    <w:p>
      <w:pPr>
        <w:pStyle w:val="BodyText"/>
      </w:pPr>
      <w:r>
        <w:t xml:space="preserve">The regulatory environment in</w:t>
      </w:r>
      <w:r>
        <w:t xml:space="preserve"> </w:t>
      </w:r>
      <w:r>
        <w:rPr>
          <w:bCs/>
          <w:b/>
        </w:rPr>
        <w:t xml:space="preserve">Kazakhstan Almaty</w:t>
      </w:r>
      <w:r>
        <w:t xml:space="preserve"> </w:t>
      </w:r>
      <w:r>
        <w:t xml:space="preserve">is stringent yet evolving. The National Bank of Kazakhstan has implemented strict anti-money laundering (AML) protocols and capital adequacy requirements to ensure stability. For the local</w:t>
      </w:r>
      <w:r>
        <w:t xml:space="preserve"> </w:t>
      </w:r>
      <w:r>
        <w:rPr>
          <w:bCs/>
          <w:b/>
        </w:rPr>
        <w:t xml:space="preserve">Banker</w:t>
      </w:r>
      <w:r>
        <w:t xml:space="preserve">, this creates a dual challenge: maintaining rigorous compliance standards while fostering an environment conducive to business growth. Furthermore, the geopolitical position of Kazakhstan means that banks in Almaty must navigate complex international sanctions regimes and cross-border payment systems, requiring</w:t>
      </w:r>
      <w:r>
        <w:t xml:space="preserve"> </w:t>
      </w:r>
      <w:r>
        <w:rPr>
          <w:bCs/>
          <w:b/>
        </w:rPr>
        <w:t xml:space="preserve">Bankers</w:t>
      </w:r>
      <w:r>
        <w:t xml:space="preserve"> </w:t>
      </w:r>
      <w:r>
        <w:t xml:space="preserve">to possess a nuanced understanding of international law and finance.</w:t>
      </w:r>
    </w:p>
    <w:bookmarkEnd w:id="22"/>
    <w:bookmarkStart w:id="23" w:name="X89c50f8c568bd02120df0a20539db941bf7864d"/>
    <w:p>
      <w:pPr>
        <w:pStyle w:val="Heading2"/>
      </w:pPr>
      <w:r>
        <w:t xml:space="preserve">3. The Digital Transformation of Banking Services</w:t>
      </w:r>
    </w:p>
    <w:p>
      <w:pPr>
        <w:pStyle w:val="FirstParagraph"/>
      </w:pPr>
      <w:r>
        <w:t xml:space="preserve">The most significant disruption affecting the banking sector in Almaty is digitalization. Over the past decade, mobile banking adoption rates in Kazakhstan have soared, with citizens increasingly preferring digital channels over physical branches. This shift has forced banks headquartered in</w:t>
      </w:r>
      <w:r>
        <w:t xml:space="preserve"> </w:t>
      </w:r>
      <w:r>
        <w:rPr>
          <w:bCs/>
          <w:b/>
        </w:rPr>
        <w:t xml:space="preserve">Kazakhstan Almaty</w:t>
      </w:r>
      <w:r>
        <w:t xml:space="preserve"> </w:t>
      </w:r>
      <w:r>
        <w:t xml:space="preserve">to invest heavily in cybersecurity, user experience design, and algorithmic credit scoring.</w:t>
      </w:r>
    </w:p>
    <w:p>
      <w:pPr>
        <w:pStyle w:val="BodyText"/>
      </w:pPr>
      <w:r>
        <w:t xml:space="preserve">In this new paradigm, the role of the</w:t>
      </w:r>
      <w:r>
        <w:t xml:space="preserve"> </w:t>
      </w:r>
      <w:r>
        <w:rPr>
          <w:bCs/>
          <w:b/>
        </w:rPr>
        <w:t xml:space="preserve">Banker</w:t>
      </w:r>
      <w:r>
        <w:t xml:space="preserve"> </w:t>
      </w:r>
      <w:r>
        <w:t xml:space="preserve">is shifting from transactional processing to data interpretation. While algorithms can process loan applications and assess basic creditworthiness with speed and accuracy, they often lack the contextual understanding necessary for complex financial scenarios. For instance, when evaluating a startup in Almaty that operates in the gig economy or relies on informal trade networks, traditional data models may fail. Here, the</w:t>
      </w:r>
      <w:r>
        <w:t xml:space="preserve"> </w:t>
      </w:r>
      <w:r>
        <w:rPr>
          <w:bCs/>
          <w:b/>
        </w:rPr>
        <w:t xml:space="preserve">Banker</w:t>
      </w:r>
      <w:r>
        <w:t xml:space="preserve"> </w:t>
      </w:r>
      <w:r>
        <w:t xml:space="preserve">serves as a crucial human interface, interpreting qualitative data and building trust with clients who may be skeptical of purely automated decisions.</w:t>
      </w:r>
    </w:p>
    <w:bookmarkEnd w:id="23"/>
    <w:bookmarkStart w:id="24" w:name="X002b7985bd8061372110e5beaaf7948c40c3b2e"/>
    <w:p>
      <w:pPr>
        <w:pStyle w:val="Heading2"/>
      </w:pPr>
      <w:r>
        <w:t xml:space="preserve">4. Strategic Advisory and Relationship Management</w:t>
      </w:r>
    </w:p>
    <w:p>
      <w:pPr>
        <w:pStyle w:val="FirstParagraph"/>
      </w:pPr>
      <w:r>
        <w:t xml:space="preserve">Beyond technology, the enduring value of the</w:t>
      </w:r>
      <w:r>
        <w:t xml:space="preserve"> </w:t>
      </w:r>
      <w:r>
        <w:rPr>
          <w:bCs/>
          <w:b/>
        </w:rPr>
        <w:t xml:space="preserve">Banker</w:t>
      </w:r>
      <w:r>
        <w:t xml:space="preserve"> </w:t>
      </w:r>
      <w:r>
        <w:t xml:space="preserve">in Almaty lies in relationship management. Kazakh business culture places a high premium on personal trust and long-term partnerships. In cities like</w:t>
      </w:r>
      <w:r>
        <w:t xml:space="preserve"> </w:t>
      </w:r>
      <w:r>
        <w:rPr>
          <w:bCs/>
          <w:b/>
        </w:rPr>
        <w:t xml:space="preserve">Kazakhstan Almaty</w:t>
      </w:r>
      <w:r>
        <w:t xml:space="preserve">, where business communities are closely knit, reputation is a critical asset. A</w:t>
      </w:r>
      <w:r>
        <w:t xml:space="preserve"> </w:t>
      </w:r>
      <w:r>
        <w:rPr>
          <w:bCs/>
          <w:b/>
        </w:rPr>
        <w:t xml:space="preserve">Banker</w:t>
      </w:r>
      <w:r>
        <w:t xml:space="preserve"> </w:t>
      </w:r>
      <w:r>
        <w:t xml:space="preserve">must not only understand financial statements but also navigate the social dynamics of their clients.</w:t>
      </w:r>
    </w:p>
    <w:p>
      <w:pPr>
        <w:pStyle w:val="BodyText"/>
      </w:pPr>
      <w:r>
        <w:t xml:space="preserve">This aspect is particularly evident in corporate banking, where</w:t>
      </w:r>
      <w:r>
        <w:t xml:space="preserve"> </w:t>
      </w:r>
      <w:r>
        <w:rPr>
          <w:bCs/>
          <w:b/>
        </w:rPr>
        <w:t xml:space="preserve">Bankers</w:t>
      </w:r>
      <w:r>
        <w:t xml:space="preserve"> </w:t>
      </w:r>
      <w:r>
        <w:t xml:space="preserve">act as strategic advisors rather than mere lenders. They provide insights into market trends, help clients structure international deals, and assist in navigating regulatory changes. For example, during periods of currency fluctuation involving the tenge against the US dollar or Euro,</w:t>
      </w:r>
      <w:r>
        <w:t xml:space="preserve"> </w:t>
      </w:r>
      <w:r>
        <w:rPr>
          <w:bCs/>
          <w:b/>
        </w:rPr>
        <w:t xml:space="preserve">Bankers</w:t>
      </w:r>
      <w:r>
        <w:t xml:space="preserve"> </w:t>
      </w:r>
      <w:r>
        <w:t xml:space="preserve">in Almaty are expected to offer hedging strategies and financial planning services that go beyond simple deposit accounts. This advisory role requires continuous education and professional development, ensuring that bankers remain at the cutting edge of financial innovation.</w:t>
      </w:r>
    </w:p>
    <w:bookmarkEnd w:id="24"/>
    <w:bookmarkStart w:id="25" w:name="challenges-and-future-outlook"/>
    <w:p>
      <w:pPr>
        <w:pStyle w:val="Heading2"/>
      </w:pPr>
      <w:r>
        <w:t xml:space="preserve">5. Challenges and Future Outlook</w:t>
      </w:r>
    </w:p>
    <w:p>
      <w:pPr>
        <w:pStyle w:val="FirstParagraph"/>
      </w:pPr>
      <w:r>
        <w:t xml:space="preserve">Despite advancements, the sector faces significant challenges. Talent retention is a growing concern, as skilled financial professionals in</w:t>
      </w:r>
      <w:r>
        <w:t xml:space="preserve"> </w:t>
      </w:r>
      <w:r>
        <w:rPr>
          <w:bCs/>
          <w:b/>
        </w:rPr>
        <w:t xml:space="preserve">Kazakhstan Almaty</w:t>
      </w:r>
      <w:r>
        <w:t xml:space="preserve"> </w:t>
      </w:r>
      <w:r>
        <w:t xml:space="preserve">are often targeted by international firms offering higher compensation. Additionally, the rise of non-bank financial institutions and cryptocurrency platforms poses a competitive threat to traditional banking models.</w:t>
      </w:r>
    </w:p>
    <w:p>
      <w:pPr>
        <w:pStyle w:val="BodyText"/>
      </w:pPr>
      <w:r>
        <w:t xml:space="preserve">To address these challenges, the definition of a modern</w:t>
      </w:r>
      <w:r>
        <w:t xml:space="preserve"> </w:t>
      </w:r>
      <w:r>
        <w:rPr>
          <w:bCs/>
          <w:b/>
        </w:rPr>
        <w:t xml:space="preserve">Banker</w:t>
      </w:r>
      <w:r>
        <w:t xml:space="preserve"> </w:t>
      </w:r>
      <w:r>
        <w:t xml:space="preserve">must continue to evolve. Future training programs for bankers in Almaty should emphasize data analytics, artificial intelligence ethics, and sustainable finance (ESG). As global attention turns toward green energy and sustainable development, banks in Kazakhstan will increasingly need</w:t>
      </w:r>
      <w:r>
        <w:t xml:space="preserve"> </w:t>
      </w:r>
      <w:r>
        <w:rPr>
          <w:bCs/>
          <w:b/>
        </w:rPr>
        <w:t xml:space="preserve">Bankers</w:t>
      </w:r>
      <w:r>
        <w:t xml:space="preserve"> </w:t>
      </w:r>
      <w:r>
        <w:t xml:space="preserve">who can assess environmental risks and structure green bonds.</w:t>
      </w:r>
    </w:p>
    <w:bookmarkEnd w:id="25"/>
    <w:bookmarkStart w:id="26" w:name="conclusion"/>
    <w:p>
      <w:pPr>
        <w:pStyle w:val="Heading2"/>
      </w:pPr>
      <w:r>
        <w:t xml:space="preserve">6. Conclusion</w:t>
      </w:r>
    </w:p>
    <w:p>
      <w:pPr>
        <w:pStyle w:val="FirstParagraph"/>
      </w:pPr>
      <w:r>
        <w:t xml:space="preserve">In conclusion, the role of the banker in Kazakhstan’s Almaty is undergoing a profound transformation. No longer confined to the confines of a branch office, the modern banker serves as a technologically adept strategist and a trusted advisor. The unique economic and cultural landscape of</w:t>
      </w:r>
      <w:r>
        <w:t xml:space="preserve"> </w:t>
      </w:r>
      <w:r>
        <w:rPr>
          <w:bCs/>
          <w:b/>
        </w:rPr>
        <w:t xml:space="preserve">Kazakhstan Almaty</w:t>
      </w:r>
      <w:r>
        <w:t xml:space="preserve"> </w:t>
      </w:r>
      <w:r>
        <w:t xml:space="preserve">demands professionals who can bridge the gap between traditional banking values and modern digital realities. As the financial sector continues to evolve, those bankers who successfully integrate digital tools with deep relational intelligence will be best positioned to drive economic growth and stability in the region. The future of banking in Almaty depends not just on technology, but on the adaptability and expertise of its human capital.</w:t>
      </w:r>
    </w:p>
    <w:bookmarkEnd w:id="26"/>
    <w:bookmarkStart w:id="27" w:name="references"/>
    <w:p>
      <w:pPr>
        <w:pStyle w:val="Heading2"/>
      </w:pPr>
      <w:r>
        <w:t xml:space="preserve">References</w:t>
      </w:r>
    </w:p>
    <w:p>
      <w:pPr>
        <w:numPr>
          <w:ilvl w:val="0"/>
          <w:numId w:val="1001"/>
        </w:numPr>
        <w:pStyle w:val="Compact"/>
      </w:pPr>
      <w:r>
        <w:t xml:space="preserve">National Bank of Kazakhstan. (2023). Annual Report on Financial Stability in Kazakhstan.</w:t>
      </w:r>
    </w:p>
    <w:p>
      <w:pPr>
        <w:numPr>
          <w:ilvl w:val="0"/>
          <w:numId w:val="1001"/>
        </w:numPr>
        <w:pStyle w:val="Compact"/>
      </w:pPr>
      <w:r>
        <w:t xml:space="preserve">Eurasian Development Bank. (2024). Economic Outlook for Central Asia: Digitalization and Growth.</w:t>
      </w:r>
    </w:p>
    <w:p>
      <w:pPr>
        <w:numPr>
          <w:ilvl w:val="0"/>
          <w:numId w:val="1001"/>
        </w:numPr>
        <w:pStyle w:val="Compact"/>
      </w:pPr>
      <w:r>
        <w:t xml:space="preserve">Khan, B., &amp; Smith, J. (2021). "Fintech Adoption in Emerging Markets: A Case Study of Kazakhstan." Journal of Asian Finance.</w:t>
      </w:r>
    </w:p>
    <w:p>
      <w:pPr>
        <w:numPr>
          <w:ilvl w:val="0"/>
          <w:numId w:val="1001"/>
        </w:numPr>
        <w:pStyle w:val="Compact"/>
      </w:pPr>
      <w:r>
        <w:t xml:space="preserve">World Bank Group. (2023). Kazakhstan Economic Update: Building a Resilient Economy.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Banker in Kazakhstan’s Almaty: Strategic Adaptation and Digital Transformation</dc:title>
  <dc:creator/>
  <dc:language>en</dc:language>
  <cp:keywords/>
  <dcterms:created xsi:type="dcterms:W3CDTF">2026-07-29T22:07:44Z</dcterms:created>
  <dcterms:modified xsi:type="dcterms:W3CDTF">2026-07-29T22:07:44Z</dcterms:modified>
</cp:coreProperties>
</file>

<file path=docProps/custom.xml><?xml version="1.0" encoding="utf-8"?>
<Properties xmlns="http://schemas.openxmlformats.org/officeDocument/2006/custom-properties" xmlns:vt="http://schemas.openxmlformats.org/officeDocument/2006/docPropsVTypes"/>
</file>