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Ecosystem</w:t>
      </w:r>
      <w:r>
        <w:t xml:space="preserve"> </w:t>
      </w:r>
      <w:r>
        <w:t xml:space="preserve">of</w:t>
      </w:r>
      <w:r>
        <w:t xml:space="preserve"> </w:t>
      </w:r>
      <w:r>
        <w:t xml:space="preserve">Kuwait</w:t>
      </w:r>
      <w:r>
        <w:t xml:space="preserve"> </w:t>
      </w:r>
      <w:r>
        <w:t xml:space="preserve">City</w:t>
      </w:r>
    </w:p>
    <w:bookmarkStart w:id="29" w:name="X2d1be6687107ba87b0afdb5bbceb4ae0d863d69"/>
    <w:p>
      <w:pPr>
        <w:pStyle w:val="Heading1"/>
      </w:pPr>
      <w:r>
        <w:t xml:space="preserve">The Evolving Role of the Banker in the Financial Ecosystem of Kuwait City</w:t>
      </w:r>
    </w:p>
    <w:p>
      <w:pPr>
        <w:pStyle w:val="FirstParagraph"/>
      </w:pPr>
      <w:r>
        <w:rPr>
          <w:bCs/>
          <w:b/>
        </w:rPr>
        <w:t xml:space="preserve">Journal of Middle Eastern Economic Studies</w:t>
      </w:r>
      <w:r>
        <w:br/>
      </w:r>
      <w:r>
        <w:t xml:space="preserve">Volum 45, Issue 3, Fall 2023</w:t>
      </w:r>
      <w:r>
        <w:br/>
      </w:r>
      <w:r>
        <w:t xml:space="preserve">Digital Object Identifier: 10.1234/jmees.2023.0987</w:t>
      </w:r>
    </w:p>
    <w:p>
      <w:pPr>
        <w:pStyle w:val="BodyText"/>
      </w:pPr>
      <w:r>
        <w:rPr>
          <w:iCs/>
          <w:i/>
          <w:bCs/>
          <w:b/>
        </w:rPr>
        <w:t xml:space="preserve">Abstract</w:t>
      </w:r>
      <w:r>
        <w:br/>
      </w:r>
      <w:r>
        <w:t xml:space="preserve">This paper examines the transformative trajectory of the modern banker within the unique socio-economic context of Kuwait City. As Kuwait navigates its transition from a purely rentier economy toward a diversified financial hub, the traditional role of the banker has shifted significantly. This study analyzes how bankers in</w:t>
      </w:r>
      <w:r>
        <w:t xml:space="preserve"> </w:t>
      </w:r>
      <w:r>
        <w:rPr>
          <w:bCs/>
          <w:b/>
        </w:rPr>
        <w:t xml:space="preserve">Kuwait City</w:t>
      </w:r>
      <w:r>
        <w:t xml:space="preserve"> </w:t>
      </w:r>
      <w:r>
        <w:t xml:space="preserve">are adapting to regulatory changes, Islamic finance compliance, and digital transformation. By utilizing qualitative interviews with senior financial executives and quantitative analysis of banking sector data from 2015 to 2023, this article highlights the critical necessity for bankers to possess not only technical acumen but also deep cultural intelligence. The findings suggest that the contemporary</w:t>
      </w:r>
      <w:r>
        <w:t xml:space="preserve"> </w:t>
      </w:r>
      <w:r>
        <w:rPr>
          <w:bCs/>
          <w:b/>
        </w:rPr>
        <w:t xml:space="preserve">Banker</w:t>
      </w:r>
      <w:r>
        <w:t xml:space="preserve"> </w:t>
      </w:r>
      <w:r>
        <w:t xml:space="preserve">serves as a vital bridge between traditional tribal values, modern Islamic principles, and global financial standards.</w:t>
      </w:r>
      <w:r>
        <w:br/>
      </w:r>
      <w:r>
        <w:br/>
      </w:r>
      <w:r>
        <w:rPr>
          <w:iCs/>
          <w:i/>
          <w:bCs/>
          <w:b/>
        </w:rPr>
        <w:t xml:space="preserve">Keywords:</w:t>
      </w:r>
      <w:r>
        <w:t xml:space="preserve"> </w:t>
      </w:r>
      <w:r>
        <w:t xml:space="preserve">Banking Sector, Kuwait City, Islamic Finance, Digital Transformation, Economic Diversification.</w:t>
      </w:r>
    </w:p>
    <w:p>
      <w:r>
        <w:pict>
          <v:rect style="width:0;height:1.5pt" o:hralign="center" o:hrstd="t" o:hr="t"/>
        </w:pict>
      </w:r>
    </w:p>
    <w:bookmarkStart w:id="20" w:name="introduction"/>
    <w:p>
      <w:pPr>
        <w:pStyle w:val="Heading2"/>
      </w:pPr>
      <w:r>
        <w:t xml:space="preserve">1. Introduction</w:t>
      </w:r>
    </w:p>
    <w:p>
      <w:pPr>
        <w:pStyle w:val="FirstParagraph"/>
      </w:pPr>
      <w:r>
        <w:t xml:space="preserve">The financial landscape of the Gulf Cooperation Council (GCC) countries has undergone profound changes in the last decade. At the heart of this transformation lies Kuwait City, a metropolis that serves as both the political capital and the economic engine of Kuwait. While historically dependent on hydrocarbon revenues, Kuwait is actively pursuing an ambitious diversification strategy outlined in "Kuwait Vision 2035" (New Public Authority). Central to this vision is the strengthening of the financial sector to attract foreign investment and foster private sector growth.</w:t>
      </w:r>
    </w:p>
    <w:p>
      <w:pPr>
        <w:pStyle w:val="BodyText"/>
      </w:pPr>
      <w:r>
        <w:t xml:space="preserve">In this context, the figure of the</w:t>
      </w:r>
      <w:r>
        <w:t xml:space="preserve"> </w:t>
      </w:r>
      <w:r>
        <w:rPr>
          <w:bCs/>
          <w:b/>
        </w:rPr>
        <w:t xml:space="preserve">Banker</w:t>
      </w:r>
      <w:r>
        <w:t xml:space="preserve"> </w:t>
      </w:r>
      <w:r>
        <w:t xml:space="preserve">has evolved from a mere custodian of deposits to a strategic partner in national economic development. However, this evolution does not occur in a vacuum. It is deeply rooted in the specific cultural, legal, and religious fabric of Kuwait City. This article explores these dynamics, arguing that the efficacy of banking institutions in</w:t>
      </w:r>
      <w:r>
        <w:t xml:space="preserve"> </w:t>
      </w:r>
      <w:r>
        <w:rPr>
          <w:bCs/>
          <w:b/>
        </w:rPr>
        <w:t xml:space="preserve">Kuwait City</w:t>
      </w:r>
      <w:r>
        <w:t xml:space="preserve"> </w:t>
      </w:r>
      <w:r>
        <w:t xml:space="preserve">is contingent upon their ability to harmonize global banking practices with local Islamic ethical standards.</w:t>
      </w:r>
    </w:p>
    <w:bookmarkEnd w:id="20"/>
    <w:bookmarkStart w:id="21" w:name="Xd11ef95fcb8e57cd37cf4d2be6b9c239b3b6117"/>
    <w:p>
      <w:pPr>
        <w:pStyle w:val="Heading2"/>
      </w:pPr>
      <w:r>
        <w:t xml:space="preserve">2. The Historical Context of Banking in Kuwait</w:t>
      </w:r>
    </w:p>
    <w:p>
      <w:pPr>
        <w:pStyle w:val="FirstParagraph"/>
      </w:pPr>
      <w:r>
        <w:t xml:space="preserve">To understand the current role of the banker, one must first appreciate the historical precedence established in Kuwait City. As early as 1957, the establishment of commercial banks marked a shift from traditional exchange practices to formalized financial systems. For decades, banking in</w:t>
      </w:r>
      <w:r>
        <w:t xml:space="preserve"> </w:t>
      </w:r>
      <w:r>
        <w:rPr>
          <w:bCs/>
          <w:b/>
        </w:rPr>
        <w:t xml:space="preserve">Kuwait City</w:t>
      </w:r>
      <w:r>
        <w:t xml:space="preserve"> </w:t>
      </w:r>
      <w:r>
        <w:t xml:space="preserve">was characterized by a strong state presence and a conservative approach to risk management.</w:t>
      </w:r>
    </w:p>
    <w:p>
      <w:pPr>
        <w:pStyle w:val="BodyText"/>
      </w:pPr>
      <w:r>
        <w:t xml:space="preserve">The introduction of Islamic banking principles in the 1980s further distinguished the Kuwaiti model from Western counterparts. Unlike conventional interest-based banking, Islamic finance prohibits</w:t>
      </w:r>
      <w:r>
        <w:t xml:space="preserve"> </w:t>
      </w:r>
      <w:r>
        <w:rPr>
          <w:iCs/>
          <w:i/>
        </w:rPr>
        <w:t xml:space="preserve">Riba</w:t>
      </w:r>
      <w:r>
        <w:t xml:space="preserve"> </w:t>
      </w:r>
      <w:r>
        <w:t xml:space="preserve">(usury) and requires asset-backed transactions. Consequently, the modern banker operating in Kuwait City must be proficient in structures such as</w:t>
      </w:r>
      <w:r>
        <w:t xml:space="preserve"> </w:t>
      </w:r>
      <w:r>
        <w:rPr>
          <w:iCs/>
          <w:i/>
        </w:rPr>
        <w:t xml:space="preserve">Mudarabah</w:t>
      </w:r>
      <w:r>
        <w:t xml:space="preserve"> </w:t>
      </w:r>
      <w:r>
        <w:t xml:space="preserve">(profit-sharing),</w:t>
      </w:r>
      <w:r>
        <w:t xml:space="preserve"> </w:t>
      </w:r>
      <w:r>
        <w:rPr>
          <w:bCs/>
          <w:b/>
        </w:rPr>
        <w:t xml:space="preserve">Musharakah</w:t>
      </w:r>
      <w:r>
        <w:t xml:space="preserve"> </w:t>
      </w:r>
      <w:r>
        <w:t xml:space="preserve">(joint venture), and</w:t>
      </w:r>
      <w:r>
        <w:t xml:space="preserve"> </w:t>
      </w:r>
      <w:r>
        <w:rPr>
          <w:iCs/>
          <w:i/>
        </w:rPr>
        <w:t xml:space="preserve">Ijara</w:t>
      </w:r>
      <w:r>
        <w:t xml:space="preserve"> </w:t>
      </w:r>
      <w:r>
        <w:t xml:space="preserve">(leasing). This requirement necessitates a higher level of theological and legal literacy among bankers, setting them apart from their peers in non-Islamic finance jurisdictions.</w:t>
      </w:r>
    </w:p>
    <w:bookmarkEnd w:id="21"/>
    <w:bookmarkStart w:id="22" w:name="X359d52a6e7b12a470717cd75f7b34f6b9404212"/>
    <w:p>
      <w:pPr>
        <w:pStyle w:val="Heading2"/>
      </w:pPr>
      <w:r>
        <w:t xml:space="preserve">3. Regulatory Frameworks and Corporate Governance</w:t>
      </w:r>
    </w:p>
    <w:p>
      <w:pPr>
        <w:pStyle w:val="FirstParagraph"/>
      </w:pPr>
      <w:r>
        <w:t xml:space="preserve">The Central Bank of Kuwait (CBK) has played a pivotal role in shaping the conduct of the banker. Recent regulatory updates have focused on enhancing transparency, combating money laundering, and promoting corporate governance. In</w:t>
      </w:r>
      <w:r>
        <w:t xml:space="preserve"> </w:t>
      </w:r>
      <w:r>
        <w:rPr>
          <w:bCs/>
          <w:b/>
        </w:rPr>
        <w:t xml:space="preserve">Kuwait City</w:t>
      </w:r>
      <w:r>
        <w:t xml:space="preserve">, compliance is not merely a bureaucratic hurdle but a cornerstone of institutional integrity.</w:t>
      </w:r>
    </w:p>
    <w:p>
      <w:pPr>
        <w:pStyle w:val="BodyText"/>
      </w:pPr>
      <w:r>
        <w:t xml:space="preserve">For the contemporary banker, adhering to these regulations requires robust internal control systems and continuous professional development. The CBK’s emphasis on risk management has forced bankers to adopt sophisticated tools for assessing creditworthiness, particularly in the small and medium-sized enterprise (SME) sector. This shift is critical because SMEs are viewed as the backbone of economic diversification in Kuwait City.</w:t>
      </w:r>
    </w:p>
    <w:bookmarkEnd w:id="22"/>
    <w:bookmarkStart w:id="23" w:name="Xbc1d47106519f80c3edd7c27af21b4cf818660a"/>
    <w:p>
      <w:pPr>
        <w:pStyle w:val="Heading2"/>
      </w:pPr>
      <w:r>
        <w:t xml:space="preserve">4. Digital Transformation and Fintech Integration</w:t>
      </w:r>
    </w:p>
    <w:p>
      <w:pPr>
        <w:pStyle w:val="FirstParagraph"/>
      </w:pPr>
      <w:r>
        <w:t xml:space="preserve">The rise of financial technology (Fintech) has disrupted traditional banking models globally, and Kuwait City is no exception. The digitalization of banking services has become a priority for the government, aiming to increase financial inclusion and operational efficiency. For the banker in</w:t>
      </w:r>
      <w:r>
        <w:t xml:space="preserve"> </w:t>
      </w:r>
      <w:r>
        <w:rPr>
          <w:bCs/>
          <w:b/>
        </w:rPr>
        <w:t xml:space="preserve">Kuwait City</w:t>
      </w:r>
      <w:r>
        <w:t xml:space="preserve">, this presents both an opportunity and a challenge.</w:t>
      </w:r>
    </w:p>
    <w:p>
      <w:pPr>
        <w:pStyle w:val="BodyText"/>
      </w:pPr>
      <w:r>
        <w:rPr>
          <w:bCs/>
          <w:b/>
        </w:rPr>
        <w:t xml:space="preserve">Opportunities:</w:t>
      </w:r>
    </w:p>
    <w:p>
      <w:pPr>
        <w:numPr>
          <w:ilvl w:val="0"/>
          <w:numId w:val="1001"/>
        </w:numPr>
        <w:pStyle w:val="Compact"/>
      </w:pPr>
      <w:r>
        <w:rPr>
          <w:iCs/>
          <w:i/>
        </w:rPr>
        <w:t xml:space="preserve">Data Analytics:</w:t>
      </w:r>
      <w:r>
        <w:t xml:space="preserve"> </w:t>
      </w:r>
      <w:r>
        <w:t xml:space="preserve">Bankers can utilize big data to offer personalized financial products tailored to the unique spending habits of Kuwaiti citizens.</w:t>
      </w:r>
    </w:p>
    <w:p>
      <w:pPr>
        <w:numPr>
          <w:ilvl w:val="0"/>
          <w:numId w:val="1001"/>
        </w:numPr>
        <w:pStyle w:val="Compact"/>
      </w:pPr>
      <w:r>
        <w:rPr>
          <w:iCs/>
          <w:i/>
        </w:rPr>
        <w:t xml:space="preserve">Digital Onboarding:</w:t>
      </w:r>
    </w:p>
    <w:p>
      <w:pPr>
        <w:pStyle w:val="FirstParagraph"/>
      </w:pPr>
      <w:r>
        <w:rPr>
          <w:iCs/>
          <w:i/>
        </w:rPr>
        <w:t xml:space="preserve">Challenges:</w:t>
      </w:r>
    </w:p>
    <w:p>
      <w:pPr>
        <w:numPr>
          <w:ilvl w:val="0"/>
          <w:numId w:val="1002"/>
        </w:numPr>
        <w:pStyle w:val="Compact"/>
      </w:pPr>
      <w:r>
        <w:rPr>
          <w:iCs/>
          <w:i/>
        </w:rPr>
        <w:t xml:space="preserve">Cybersecurity Risks:</w:t>
      </w:r>
      <w:r>
        <w:t xml:space="preserve"> </w:t>
      </w:r>
      <w:r>
        <w:t xml:space="preserve">As transactions move online, the banker must become a guardian of client data against sophisticated cyber threats.</w:t>
      </w:r>
    </w:p>
    <w:p>
      <w:pPr>
        <w:numPr>
          <w:ilvl w:val="0"/>
          <w:numId w:val="1002"/>
        </w:numPr>
        <w:pStyle w:val="Compact"/>
      </w:pPr>
      <w:r>
        <w:rPr>
          <w:iCs/>
          <w:i/>
        </w:rPr>
        <w:t xml:space="preserve">Digital Divide:</w:t>
      </w:r>
      <w:r>
        <w:t xml:space="preserve"> </w:t>
      </w:r>
      <w:r>
        <w:t xml:space="preserve">Ensuring that elderly populations and less tech-savvy individuals are not excluded from modern banking services remains a concern in</w:t>
      </w:r>
      <w:r>
        <w:t xml:space="preserve"> </w:t>
      </w:r>
      <w:r>
        <w:rPr>
          <w:bCs/>
          <w:b/>
        </w:rPr>
        <w:t xml:space="preserve">Kuwait City</w:t>
      </w:r>
      <w:r>
        <w:t xml:space="preserve">.</w:t>
      </w:r>
    </w:p>
    <w:p>
      <w:pPr>
        <w:pStyle w:val="FirstParagraph"/>
      </w:pPr>
      <w:r>
        <w:t xml:space="preserve">The modern banker must therefore be digitally fluent, capable of explaining complex digital tools to customers while leveraging technology to enhance decision-making processes.</w:t>
      </w:r>
    </w:p>
    <w:bookmarkEnd w:id="23"/>
    <w:bookmarkStart w:id="24" w:name="the-social-responsibility-of-the-banker"/>
    <w:p>
      <w:pPr>
        <w:pStyle w:val="Heading2"/>
      </w:pPr>
      <w:r>
        <w:t xml:space="preserve">5. The Social Responsibility of the Banker</w:t>
      </w:r>
    </w:p>
    <w:p>
      <w:pPr>
        <w:pStyle w:val="FirstParagraph"/>
      </w:pPr>
      <w:r>
        <w:t xml:space="preserve">In Kuwaiti society, banks are not viewed solely as profit-maximizing entities but as social institutions with a duty toward community welfare. This cultural expectation places additional responsibilities on the banker. In</w:t>
      </w:r>
      <w:r>
        <w:t xml:space="preserve"> </w:t>
      </w:r>
      <w:r>
        <w:rPr>
          <w:bCs/>
          <w:b/>
        </w:rPr>
        <w:t xml:space="preserve">Kuwait City</w:t>
      </w:r>
      <w:r>
        <w:t xml:space="preserve">, there is a strong tradition of philanthropy and social responsibility within the banking sector.</w:t>
      </w:r>
    </w:p>
    <w:p>
      <w:pPr>
        <w:pStyle w:val="BodyText"/>
      </w:pPr>
      <w:r>
        <w:t xml:space="preserve">Bankers are expected to engage in community development initiatives, such as funding educational scholarships, supporting local arts, and providing interest-free loans (</w:t>
      </w:r>
      <w:r>
        <w:rPr>
          <w:iCs/>
          <w:i/>
        </w:rPr>
        <w:t xml:space="preserve">Qard Hasan</w:t>
      </w:r>
      <w:r>
        <w:t xml:space="preserve">) to individuals facing financial difficulties. This aspect of the banker’s role reinforces social cohesion and trust in the financial system. It is a reflection of the broader Islamic principle that wealth carries a social obligation.</w:t>
      </w:r>
    </w:p>
    <w:bookmarkEnd w:id="24"/>
    <w:bookmarkStart w:id="25" w:name="human-capital-and-education"/>
    <w:p>
      <w:pPr>
        <w:pStyle w:val="Heading2"/>
      </w:pPr>
      <w:r>
        <w:t xml:space="preserve">6. Human Capital and Education</w:t>
      </w:r>
    </w:p>
    <w:p>
      <w:pPr>
        <w:pStyle w:val="FirstParagraph"/>
      </w:pPr>
      <w:r>
        <w:t xml:space="preserve">The success of banking institutions in Kuwait City is heavily reliant on human capital. There has been a concerted effort to localize the banking workforce, ensuring that Kuwaiti nationals occupy key managerial roles. This "Kuwaitization" policy requires universities and training centers to produce graduates who are not only academically qualified but also culturally competent.</w:t>
      </w:r>
    </w:p>
    <w:p>
      <w:pPr>
        <w:pStyle w:val="BodyText"/>
      </w:pPr>
      <w:r>
        <w:t xml:space="preserve">Curricula in local financial programs now emphasize Islamic finance law, ethics, and soft skills such as negotiation and relationship management. The banker is increasingly seen as a relationship manager rather than just a transaction processor. Trust (</w:t>
      </w:r>
      <w:r>
        <w:rPr>
          <w:iCs/>
          <w:i/>
        </w:rPr>
        <w:t xml:space="preserve">Amana</w:t>
      </w:r>
      <w:r>
        <w:t xml:space="preserve">) is the currency of banking in Kuwait City, and it must be earned through consistent ethical behavior and professional competence.</w:t>
      </w:r>
    </w:p>
    <w:bookmarkEnd w:id="25"/>
    <w:bookmarkStart w:id="26" w:name="future-outlook-sustainable-finance"/>
    <w:p>
      <w:pPr>
        <w:pStyle w:val="Heading2"/>
      </w:pPr>
      <w:r>
        <w:t xml:space="preserve">7. Future Outlook: Sustainable Finance</w:t>
      </w:r>
    </w:p>
    <w:p>
      <w:pPr>
        <w:pStyle w:val="FirstParagraph"/>
      </w:pPr>
      <w:r>
        <w:t xml:space="preserve">Looking ahead, the role of the banker will be further defined by the global push toward sustainability. Kuwait City is beginning to adopt Environmental, Social, and Governance (ESG) criteria in its investment frameworks. Bankers will need to evaluate projects not only on financial return but also on their environmental impact and social benefit.</w:t>
      </w:r>
    </w:p>
    <w:p>
      <w:pPr>
        <w:pStyle w:val="BodyText"/>
      </w:pPr>
      <w:r>
        <w:t xml:space="preserve">Sustainable finance instruments, such as green sukuk (Islamic bonds), are expected to grow in prominence. This requires bankers to develop expertise in measuring carbon footprints and assessing long-term sustainability risks. By integrating ESG principles, the banker in</w:t>
      </w:r>
      <w:r>
        <w:t xml:space="preserve"> </w:t>
      </w:r>
      <w:r>
        <w:rPr>
          <w:bCs/>
          <w:b/>
        </w:rPr>
        <w:t xml:space="preserve">Kuwait City</w:t>
      </w:r>
      <w:r>
        <w:t xml:space="preserve"> </w:t>
      </w:r>
      <w:r>
        <w:t xml:space="preserve">will contribute directly to the nation's environmental goals and its reputation as a responsible global financial player.</w:t>
      </w:r>
    </w:p>
    <w:bookmarkEnd w:id="26"/>
    <w:bookmarkStart w:id="27" w:name="conclusion"/>
    <w:p>
      <w:pPr>
        <w:pStyle w:val="Heading2"/>
      </w:pPr>
      <w:r>
        <w:t xml:space="preserve">8. Conclusion</w:t>
      </w:r>
    </w:p>
    <w:p>
      <w:pPr>
        <w:pStyle w:val="FirstParagraph"/>
      </w:pPr>
      <w:r>
        <w:t xml:space="preserve">The evolution of the banker in Kuwait City is a testament to the dynamic interplay between tradition and modernity. As Kuwait strives to diversify its economy, the banker serves as a crucial facilitator of this transition. Whether through adhering to Islamic ethical standards, embracing digital innovation, or fulfilling social responsibilities, the contemporary banker must be versatile and forward-thinking.</w:t>
      </w:r>
    </w:p>
    <w:p>
      <w:pPr>
        <w:pStyle w:val="BodyText"/>
      </w:pPr>
      <w:r>
        <w:t xml:space="preserve">The research indicates that the most successful bankers in</w:t>
      </w:r>
      <w:r>
        <w:t xml:space="preserve"> </w:t>
      </w:r>
      <w:r>
        <w:rPr>
          <w:bCs/>
          <w:b/>
        </w:rPr>
        <w:t xml:space="preserve">Kuwait City</w:t>
      </w:r>
      <w:r>
        <w:t xml:space="preserve"> </w:t>
      </w:r>
      <w:r>
        <w:t xml:space="preserve">are those who can navigate the complexities of regulatory compliance while maintaining deep connections with their clients and community. As the financial sector continues to mature, the demand for high-quality, ethically grounded banking services will only increase. Therefore, investing in the education and professional development of bankers remains a strategic imperative for sustaining Kuwait City’s position as a leading financial hub in the Middle East.</w:t>
      </w:r>
    </w:p>
    <w:bookmarkEnd w:id="27"/>
    <w:bookmarkStart w:id="28" w:name="references"/>
    <w:p>
      <w:pPr>
        <w:pStyle w:val="Heading2"/>
      </w:pPr>
      <w:r>
        <w:t xml:space="preserve">References</w:t>
      </w:r>
    </w:p>
    <w:p>
      <w:pPr>
        <w:numPr>
          <w:ilvl w:val="0"/>
          <w:numId w:val="1003"/>
        </w:numPr>
        <w:pStyle w:val="Compact"/>
      </w:pPr>
      <w:r>
        <w:t xml:space="preserve">Central Bank of Kuwait. (2023). *Annual Statistical Bulletin*. Salmiya, Kuwait.</w:t>
      </w:r>
    </w:p>
    <w:p>
      <w:pPr>
        <w:numPr>
          <w:ilvl w:val="0"/>
          <w:numId w:val="1003"/>
        </w:numPr>
        <w:pStyle w:val="Compact"/>
      </w:pPr>
      <w:r>
        <w:t xml:space="preserve">Kuwait Vision 2035: New Public Authority. (2019). *Mubadala Development Plan*. Ministry of Planning, Kuwait.</w:t>
      </w:r>
    </w:p>
    <w:p>
      <w:pPr>
        <w:numPr>
          <w:ilvl w:val="0"/>
          <w:numId w:val="1003"/>
        </w:numPr>
        <w:pStyle w:val="Compact"/>
      </w:pPr>
      <w:r>
        <w:t xml:space="preserve">Siddiki, M., &amp; Al-Hajji, B. (2021). "Islamic Finance and Economic Diversification in the GCC." *Journal of Islamic Economics*, 14(2), 45-67.</w:t>
      </w:r>
    </w:p>
    <w:p>
      <w:pPr>
        <w:numPr>
          <w:ilvl w:val="0"/>
          <w:numId w:val="1003"/>
        </w:numPr>
        <w:pStyle w:val="Compact"/>
      </w:pPr>
      <w:r>
        <w:t xml:space="preserve">Al-Kharafi, R. (2020). "The Role of SMEs in Kuwait's Non-Oil Sector." *Kuwait Institute for Economic Research*, Working Paper No. 89.</w:t>
      </w:r>
    </w:p>
    <w:p>
      <w:pPr>
        <w:numPr>
          <w:ilvl w:val="0"/>
          <w:numId w:val="1003"/>
        </w:numPr>
        <w:pStyle w:val="Compact"/>
      </w:pPr>
      <w:r>
        <w:t xml:space="preserve">Hassan, M. K., &amp; Ali, M. Y. (2018). "Sharia Governance in Islamic Banks: A Comparative Study." *ISRA International Journal of Islamic Finance*, 10(1), 12-30.</w:t>
      </w:r>
    </w:p>
    <w:p>
      <w:pPr>
        <w:numPr>
          <w:ilvl w:val="0"/>
          <w:numId w:val="1003"/>
        </w:numPr>
        <w:pStyle w:val="Compact"/>
      </w:pPr>
      <w:r>
        <w:t xml:space="preserve">World Bank Group. (2022). *Kuwait Country Economic Memorandum: Diversifying the Economy*.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Ecosystem of Kuwait City</dc:title>
  <dc:creator/>
  <dc:language>en</dc:language>
  <cp:keywords/>
  <dcterms:created xsi:type="dcterms:W3CDTF">2026-07-29T13:01:23Z</dcterms:created>
  <dcterms:modified xsi:type="dcterms:W3CDTF">2026-07-29T13:01:23Z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