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Mexico</w:t>
      </w:r>
      <w:r>
        <w:t xml:space="preserve"> </w:t>
      </w:r>
      <w:r>
        <w:t xml:space="preserve">City</w:t>
      </w:r>
    </w:p>
    <w:bookmarkStart w:id="28" w:name="Xefc53641e92a83b5c31e2a8e460a8105efb7ce9"/>
    <w:p>
      <w:pPr>
        <w:pStyle w:val="Heading1"/>
      </w:pPr>
      <w:r>
        <w:t xml:space="preserve">The Evolution and Strategic Imperatives of the Modern Banker in Mexico City</w:t>
      </w:r>
    </w:p>
    <w:p>
      <w:pPr>
        <w:pStyle w:val="FirstParagraph"/>
      </w:pPr>
      <w:r>
        <w:rPr>
          <w:bCs/>
          <w:b/>
        </w:rPr>
        <w:t xml:space="preserve">Juan Carlos Mendoza, PhD</w:t>
      </w:r>
      <w:r>
        <w:br/>
      </w:r>
      <w:r>
        <w:t xml:space="preserve">Department of Finance and Economic History</w:t>
      </w:r>
      <w:r>
        <w:br/>
      </w:r>
      <w:r>
        <w:t xml:space="preserve">National Autonomous University of Mexico (UNAM)</w:t>
      </w:r>
      <w:r>
        <w:br/>
      </w:r>
      <w:r>
        <w:t xml:space="preserve">Mexico City, Mexico</w:t>
      </w:r>
    </w:p>
    <w:p>
      <w:pPr>
        <w:pStyle w:val="BodyText"/>
      </w:pPr>
      <w:r>
        <w:rPr>
          <w:iCs/>
          <w:i/>
        </w:rPr>
        <w:t xml:space="preserve">Published in the Journal of Latin American Financial Studies, Vol. 14, Issue 3</w:t>
      </w:r>
    </w:p>
    <w:bookmarkStart w:id="20" w:name="abstract"/>
    <w:p>
      <w:pPr>
        <w:pStyle w:val="Heading2"/>
      </w:pPr>
      <w:r>
        <w:t xml:space="preserve">Abstract</w:t>
      </w:r>
    </w:p>
    <w:p>
      <w:pPr>
        <w:pStyle w:val="FirstParagraph"/>
      </w:pPr>
      <w:r>
        <w:t xml:space="preserve">This article examines the transformative role of the professional banker within the unique socio-economic landscape of Mexico City. As a global emerging market hub, Mexico City presents distinct challenges and opportunities for financial institutions. This study analyzes how traditional banking models are being reshaped by digital transformation, regulatory compliance under Banxico standards, and shifting consumer behaviors in one of Latin America’s most dynamic metropolitan areas. We argue that the modern banker in Mexico City must evolve from a mere transactional intermediary to a strategic advisor capable of navigating complex macroeconomic variables while fostering financial inclusion.</w:t>
      </w:r>
    </w:p>
    <w:bookmarkEnd w:id="20"/>
    <w:bookmarkStart w:id="21" w:name="introduction"/>
    <w:p>
      <w:pPr>
        <w:pStyle w:val="Heading2"/>
      </w:pPr>
      <w:r>
        <w:t xml:space="preserve">1. Introduction</w:t>
      </w:r>
    </w:p>
    <w:p>
      <w:pPr>
        <w:pStyle w:val="FirstParagraph"/>
      </w:pPr>
      <w:r>
        <w:t xml:space="preserve">The financial sector serves as the backbone of any robust economy, acting as both a mirror and an engine for economic health. In the context of Mexico City, the capital and largest city of Mexico, this role is particularly pronounced. As a conglomeration that houses over nine million inhabitants within its municipal boundaries and influences a greater metropolitan area exceeding twenty million people, Mexico City operates as the primary financial nucleus of Latin America. Consequently, the figure of the</w:t>
      </w:r>
      <w:r>
        <w:t xml:space="preserve"> </w:t>
      </w:r>
      <w:r>
        <w:rPr>
          <w:bCs/>
          <w:b/>
        </w:rPr>
        <w:t xml:space="preserve">Banker</w:t>
      </w:r>
      <w:r>
        <w:t xml:space="preserve"> </w:t>
      </w:r>
      <w:r>
        <w:t xml:space="preserve">here is not merely a local functionary but a critical agent in regional stability.</w:t>
      </w:r>
    </w:p>
    <w:p>
      <w:pPr>
        <w:pStyle w:val="BodyText"/>
      </w:pPr>
      <w:r>
        <w:t xml:space="preserve">This article explores three core dimensions: first, the historical and structural position of banking in Mexico City; second, the impact of technological disruption on traditional banking services; and third, the regulatory environment dictated by Banco de México (Banxico). By situating these elements within an academic framework, we aim to elucidate how</w:t>
      </w:r>
      <w:r>
        <w:t xml:space="preserve"> </w:t>
      </w:r>
      <w:r>
        <w:rPr>
          <w:bCs/>
          <w:b/>
        </w:rPr>
        <w:t xml:space="preserve">Banker</w:t>
      </w:r>
      <w:r>
        <w:t xml:space="preserve"> </w:t>
      </w:r>
      <w:r>
        <w:t xml:space="preserve">professionals must adapt their skill sets to thrive in this specific geographic and economic context.</w:t>
      </w:r>
    </w:p>
    <w:bookmarkEnd w:id="21"/>
    <w:bookmarkStart w:id="22" w:name="X35f84bd7842a024da035cc129460caaeaba859a"/>
    <w:p>
      <w:pPr>
        <w:pStyle w:val="Heading2"/>
      </w:pPr>
      <w:r>
        <w:t xml:space="preserve">2. The Socio-Economic Landscape of Mexico City’s Financial District</w:t>
      </w:r>
    </w:p>
    <w:p>
      <w:pPr>
        <w:pStyle w:val="FirstParagraph"/>
      </w:pPr>
      <w:r>
        <w:t xml:space="preserve">Mexico City’s financial district, primarily concentrated in the Polanco, Santa Fe, and Centro Histórico areas, represents a juxtaposition of colonial heritage and ultra-modern skyscrapers housing multinational corporations. For the</w:t>
      </w:r>
      <w:r>
        <w:t xml:space="preserve"> </w:t>
      </w:r>
      <w:r>
        <w:rPr>
          <w:bCs/>
          <w:b/>
        </w:rPr>
        <w:t xml:space="preserve">Banker</w:t>
      </w:r>
      <w:r>
        <w:t xml:space="preserve"> </w:t>
      </w:r>
      <w:r>
        <w:t xml:space="preserve">operating in this space, understanding the dual nature of the local economy is crucial. On one hand there are large conglomerates and multinational firms integrated into global supply chains; on the other, there exists a vast informal sector that remains largely underbanked.</w:t>
      </w:r>
    </w:p>
    <w:p>
      <w:pPr>
        <w:pStyle w:val="BodyText"/>
      </w:pPr>
      <w:r>
        <w:t xml:space="preserve">This dichotomy creates a unique market dynamic. The</w:t>
      </w:r>
      <w:r>
        <w:t xml:space="preserve"> </w:t>
      </w:r>
      <w:r>
        <w:rPr>
          <w:bCs/>
          <w:b/>
        </w:rPr>
        <w:t xml:space="preserve">Banker</w:t>
      </w:r>
      <w:r>
        <w:t xml:space="preserve"> </w:t>
      </w:r>
      <w:r>
        <w:t xml:space="preserve">in Mexico City must cater to high-net-worth individuals seeking wealth preservation amidst inflationary pressures while simultaneously developing products for micro-enterprises that drive local employment. Unlike bankers in developed economies where financial inclusion is near-universal, the Mexican context requires a nuanced approach to credit scoring and risk assessment that accounts for non-traditional income sources prevalent in the informal economy.</w:t>
      </w:r>
    </w:p>
    <w:bookmarkEnd w:id="22"/>
    <w:bookmarkStart w:id="23" w:name="Xbc1d47106519f80c3edd7c27af21b4cf818660a"/>
    <w:p>
      <w:pPr>
        <w:pStyle w:val="Heading2"/>
      </w:pPr>
      <w:r>
        <w:t xml:space="preserve">3. Digital Transformation and Fintech Integration</w:t>
      </w:r>
    </w:p>
    <w:p>
      <w:pPr>
        <w:pStyle w:val="FirstParagraph"/>
      </w:pPr>
      <w:r>
        <w:t xml:space="preserve">The advent of financial technology (fintech) has disrupted traditional banking models globally, but its impact in Mexico City has been accelerated by high mobile penetration rates among younger demographics. The modern</w:t>
      </w:r>
      <w:r>
        <w:t xml:space="preserve"> </w:t>
      </w:r>
      <w:r>
        <w:rPr>
          <w:bCs/>
          <w:b/>
        </w:rPr>
        <w:t xml:space="preserve">Banker</w:t>
      </w:r>
      <w:r>
        <w:t xml:space="preserve"> </w:t>
      </w:r>
      <w:r>
        <w:t xml:space="preserve">can no longer rely solely on physical branches for client acquisition or retention. Instead, they must leverage big data analytics and artificial intelligence to offer personalized financial advice.</w:t>
      </w:r>
    </w:p>
    <w:p>
      <w:pPr>
        <w:pStyle w:val="BodyText"/>
      </w:pPr>
      <w:r>
        <w:t xml:space="preserve">In Mexico City, the rise of neobanks has forced traditional institutions to innovate rapidly. The contemporary</w:t>
      </w:r>
      <w:r>
        <w:t xml:space="preserve"> </w:t>
      </w:r>
      <w:r>
        <w:rPr>
          <w:bCs/>
          <w:b/>
        </w:rPr>
        <w:t xml:space="preserve">Banker</w:t>
      </w:r>
      <w:r>
        <w:t xml:space="preserve"> </w:t>
      </w:r>
      <w:r>
        <w:t xml:space="preserve">is expected to possess digital literacy comparable to their technical counterparts at fintech startups. This includes understanding blockchain technologies, cybersecurity protocols, and user experience (UX) design principles relevant to mobile banking applications. Failure to integrate these technologies risks obsolescence in a market where consumers demand instant, seamless transactions.</w:t>
      </w:r>
    </w:p>
    <w:p>
      <w:pPr>
        <w:pStyle w:val="BodyText"/>
      </w:pPr>
      <w:r>
        <w:t xml:space="preserve">Moreover, the integration of Open Banking frameworks has allowed third-party developers to build applications around financial institutions' core systems. For the</w:t>
      </w:r>
      <w:r>
        <w:t xml:space="preserve"> </w:t>
      </w:r>
      <w:r>
        <w:rPr>
          <w:bCs/>
          <w:b/>
        </w:rPr>
        <w:t xml:space="preserve">Banker</w:t>
      </w:r>
      <w:r>
        <w:t xml:space="preserve">, this opens avenues for ecosystem partnerships. Collaborating with fintech firms allows traditional banks to expand their reach without bearing the full cost of developing proprietary software, thereby enhancing service delivery across Mexico City’s sprawling urban landscape.</w:t>
      </w:r>
    </w:p>
    <w:bookmarkEnd w:id="23"/>
    <w:bookmarkStart w:id="24" w:name="X2f90c6770fba5a7e9372d3ae69f6c73fd221ddf"/>
    <w:p>
      <w:pPr>
        <w:pStyle w:val="Heading2"/>
      </w:pPr>
      <w:r>
        <w:t xml:space="preserve">4. Regulatory Compliance and Macroeconomic Stability</w:t>
      </w:r>
    </w:p>
    <w:p>
      <w:pPr>
        <w:pStyle w:val="FirstParagraph"/>
      </w:pPr>
      <w:r>
        <w:t xml:space="preserve">A significant portion of a</w:t>
      </w:r>
      <w:r>
        <w:t xml:space="preserve"> </w:t>
      </w:r>
      <w:r>
        <w:rPr>
          <w:bCs/>
          <w:b/>
        </w:rPr>
        <w:t xml:space="preserve">Banker’s</w:t>
      </w:r>
      <w:r>
        <w:t xml:space="preserve"> </w:t>
      </w:r>
      <w:r>
        <w:t xml:space="preserve">responsibilities in Mexico revolves around adherence to strict regulatory frameworks. Banco de México (Banxico) acts as the central bank and sets monetary policy, including interest rate adjustments that directly influence lending rates and deposit yields. Furthermore, the Comisión Nacional Bancaria y de Valores (CNBV) oversees prudential regulation to ensure solvency and integrity within the banking system.</w:t>
      </w:r>
    </w:p>
    <w:p>
      <w:pPr>
        <w:pStyle w:val="BodyText"/>
      </w:pPr>
      <w:r>
        <w:t xml:space="preserve">In recent years, anti-money laundering (AML) and combating the financing of terrorism (CFT) regulations have become increasingly stringent.</w:t>
      </w:r>
      <w:r>
        <w:t xml:space="preserve"> </w:t>
      </w:r>
      <w:r>
        <w:rPr>
          <w:bCs/>
          <w:b/>
        </w:rPr>
        <w:t xml:space="preserve">Bankers</w:t>
      </w:r>
      <w:r>
        <w:t xml:space="preserve"> </w:t>
      </w:r>
      <w:r>
        <w:t xml:space="preserve">in Mexico City must navigate a complex web of compliance requirements that extend beyond local laws to include international standards set by bodies such as the Financial Action Task Force (FATF). This regulatory burden requires continuous education and robust internal control systems.</w:t>
      </w:r>
    </w:p>
    <w:p>
      <w:pPr>
        <w:pStyle w:val="BodyText"/>
      </w:pPr>
      <w:r>
        <w:t xml:space="preserve">The volatility of the Mexican peso against major currencies, particularly the US dollar, adds another layer of complexity.</w:t>
      </w:r>
      <w:r>
        <w:t xml:space="preserve"> </w:t>
      </w:r>
      <w:r>
        <w:rPr>
          <w:bCs/>
          <w:b/>
        </w:rPr>
        <w:t xml:space="preserve">Bankers</w:t>
      </w:r>
      <w:r>
        <w:t xml:space="preserve"> </w:t>
      </w:r>
      <w:r>
        <w:t xml:space="preserve">must provide hedging strategies for corporate clients exposed to foreign exchange risk. Their ability to interpret macroeconomic indicators—such as inflation rates, GDP growth projections for Mexico City’s metropolitan region, and global commodity prices—is essential in guiding client decision-making.</w:t>
      </w:r>
    </w:p>
    <w:bookmarkEnd w:id="24"/>
    <w:bookmarkStart w:id="25" w:name="Xb4bedaf661eefa4e8d58bb6df8be67a1ef7233e"/>
    <w:p>
      <w:pPr>
        <w:pStyle w:val="Heading2"/>
      </w:pPr>
      <w:r>
        <w:t xml:space="preserve">5. Financial Inclusion and Social Responsibility</w:t>
      </w:r>
    </w:p>
    <w:p>
      <w:pPr>
        <w:pStyle w:val="FirstParagraph"/>
      </w:pPr>
      <w:r>
        <w:t xml:space="preserve">Beyond profitability and compliance, the role of the</w:t>
      </w:r>
      <w:r>
        <w:t xml:space="preserve"> </w:t>
      </w:r>
      <w:r>
        <w:rPr>
          <w:bCs/>
          <w:b/>
        </w:rPr>
        <w:t xml:space="preserve">Banker</w:t>
      </w:r>
      <w:r>
        <w:t xml:space="preserve"> </w:t>
      </w:r>
      <w:r>
        <w:t xml:space="preserve">in Mexico City increasingly encompasses a mandate for social responsibility. The informal economy accounts for approximately 50% of Mexico’s GDP, yet these workers often lack access to formal credit facilities.</w:t>
      </w:r>
      <w:r>
        <w:t xml:space="preserve"> </w:t>
      </w:r>
      <w:r>
        <w:rPr>
          <w:bCs/>
          <w:b/>
        </w:rPr>
        <w:t xml:space="preserve">Bankers</w:t>
      </w:r>
      <w:r>
        <w:t xml:space="preserve"> </w:t>
      </w:r>
      <w:r>
        <w:t xml:space="preserve">are tasked with designing innovative products that bridge this gap without compromising risk management standards.</w:t>
      </w:r>
    </w:p>
    <w:p>
      <w:pPr>
        <w:pStyle w:val="BodyText"/>
      </w:pPr>
      <w:r>
        <w:t xml:space="preserve">Educational initiatives led by financial institutions play a pivotal role in fostering financial literacy among underserved populations in peripheral areas of Mexico City. By empowering individuals with knowledge about savings, investment, and debt management,</w:t>
      </w:r>
      <w:r>
        <w:t xml:space="preserve"> </w:t>
      </w:r>
      <w:r>
        <w:rPr>
          <w:bCs/>
          <w:b/>
        </w:rPr>
        <w:t xml:space="preserve">Bankers</w:t>
      </w:r>
      <w:r>
        <w:t xml:space="preserve"> </w:t>
      </w:r>
      <w:r>
        <w:t xml:space="preserve">contribute to broader social equity. This aligns with the United Nations Sustainable Development Goals (SDGs), particularly Goal 8 (Decent Work and Economic Growth) and Goal 10 (Reduced Inequalities).</w:t>
      </w:r>
    </w:p>
    <w:bookmarkEnd w:id="25"/>
    <w:bookmarkStart w:id="26" w:name="conclusion"/>
    <w:p>
      <w:pPr>
        <w:pStyle w:val="Heading2"/>
      </w:pPr>
      <w:r>
        <w:t xml:space="preserve">6. Conclusion</w:t>
      </w:r>
    </w:p>
    <w:p>
      <w:pPr>
        <w:pStyle w:val="FirstParagraph"/>
      </w:pPr>
      <w:r>
        <w:t xml:space="preserve">The profession of</w:t>
      </w:r>
      <w:r>
        <w:t xml:space="preserve"> </w:t>
      </w:r>
      <w:r>
        <w:rPr>
          <w:bCs/>
          <w:b/>
        </w:rPr>
        <w:t xml:space="preserve">Banker</w:t>
      </w:r>
      <w:r>
        <w:t xml:space="preserve"> </w:t>
      </w:r>
      <w:r>
        <w:t xml:space="preserve">in Mexico City is undergoing a profound transformation driven by technological innovation, regulatory evolution, and changing societal expectations. It is no longer sufficient to be merely a custodian of capital; the modern banker must be an adaptive strategist, a tech-savvy advisor, and a socially conscious leader.</w:t>
      </w:r>
    </w:p>
    <w:p>
      <w:pPr>
        <w:pStyle w:val="BodyText"/>
      </w:pPr>
      <w:r>
        <w:t xml:space="preserve">As Mexico City continues to assert its position as a leading financial hub in Latin America, the demands placed on</w:t>
      </w:r>
      <w:r>
        <w:t xml:space="preserve"> </w:t>
      </w:r>
      <w:r>
        <w:rPr>
          <w:bCs/>
          <w:b/>
        </w:rPr>
        <w:t xml:space="preserve">Bankers</w:t>
      </w:r>
      <w:r>
        <w:t xml:space="preserve"> </w:t>
      </w:r>
      <w:r>
        <w:t xml:space="preserve">will only intensify. Success will depend on their ability to balance tradition with innovation, ensuring that financial services remain accessible, secure, and beneficial for all segments of society. Future research should focus on longitudinal studies measuring the impact of fintech adoption on traditional banking profitability in Mexico City’s specific cultural context.</w:t>
      </w:r>
    </w:p>
    <w:bookmarkEnd w:id="26"/>
    <w:bookmarkStart w:id="27" w:name="references"/>
    <w:p>
      <w:pPr>
        <w:pStyle w:val="Heading2"/>
      </w:pPr>
      <w:r>
        <w:t xml:space="preserve">References</w:t>
      </w:r>
    </w:p>
    <w:p>
      <w:pPr>
        <w:numPr>
          <w:ilvl w:val="0"/>
          <w:numId w:val="1001"/>
        </w:numPr>
        <w:pStyle w:val="Compact"/>
      </w:pPr>
      <w:r>
        <w:t xml:space="preserve">Banco de México. (2023). *Reporte sobre la Estabilidad Financiera*. Mexico City: Banxico Publications.</w:t>
      </w:r>
    </w:p>
    <w:p>
      <w:pPr>
        <w:numPr>
          <w:ilvl w:val="0"/>
          <w:numId w:val="1001"/>
        </w:numPr>
        <w:pStyle w:val="Compact"/>
      </w:pPr>
      <w:r>
        <w:t xml:space="preserve">García, L., &amp; Rodríguez, M. (2021). "Digital Disruption in Latin American Banking Systems." *Journal of Emerging Market Finance*, 19(2), 45-67.</w:t>
      </w:r>
    </w:p>
    <w:p>
      <w:pPr>
        <w:numPr>
          <w:ilvl w:val="0"/>
          <w:numId w:val="1001"/>
        </w:numPr>
        <w:pStyle w:val="Compact"/>
      </w:pPr>
      <w:r>
        <w:t xml:space="preserve">Mendoza, J. C. (2022). *The Role of Fintech in Financial Inclusion: A Case Study of Mexico City*. UNAM Press.</w:t>
      </w:r>
    </w:p>
    <w:p>
      <w:pPr>
        <w:numPr>
          <w:ilvl w:val="0"/>
          <w:numId w:val="1001"/>
        </w:numPr>
        <w:pStyle w:val="Compact"/>
      </w:pPr>
      <w:r>
        <w:t xml:space="preserve">National Banking and Securities Commission (CNBV). (2023). *Annual Supervisory Report*. Mexico City: CNBV.</w:t>
      </w:r>
    </w:p>
    <w:p>
      <w:pPr>
        <w:numPr>
          <w:ilvl w:val="0"/>
          <w:numId w:val="1001"/>
        </w:numPr>
        <w:pStyle w:val="Compact"/>
      </w:pPr>
      <w:r>
        <w:t xml:space="preserve">Sánchez, P. (2019). "Macroeconomic Volatility and Corporate Hedging Strategies in Emerging Markets." *International Journal of Economics*, 15(4),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Modern Banker in Mexico City</dc:title>
  <dc:creator/>
  <dc:language>en</dc:language>
  <cp:keywords/>
  <dcterms:created xsi:type="dcterms:W3CDTF">2026-07-29T04:13:08Z</dcterms:created>
  <dcterms:modified xsi:type="dcterms:W3CDTF">2026-07-29T04:13:08Z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