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Financial</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29" w:name="Xf0b61c4aac3892e6e162d31f6415cb102292e2c"/>
    <w:p>
      <w:pPr>
        <w:pStyle w:val="Heading1"/>
      </w:pPr>
      <w:r>
        <w:t xml:space="preserve">The Evolving Role of the Banker in the Financial Landscape of Saudi Arabia, Riyadh</w:t>
      </w:r>
    </w:p>
    <w:p>
      <w:pPr>
        <w:pStyle w:val="FirstParagraph"/>
      </w:pPr>
      <w:r>
        <w:t xml:space="preserve">Dr. Ahmed Al-Farsi</w:t>
      </w:r>
      <w:r>
        <w:br/>
      </w:r>
      <w:r>
        <w:t xml:space="preserve">Department of Finance and Banking,</w:t>
      </w:r>
      <w:r>
        <w:br/>
      </w:r>
      <w:r>
        <w:t xml:space="preserve">Riyadh University, Saudi Arabia</w:t>
      </w:r>
      <w:r>
        <w:br/>
      </w:r>
      <w:r>
        <w:t xml:space="preserve">Email: a.alfarsi@riyadhuniv.sa</w:t>
      </w:r>
    </w:p>
    <w:bookmarkStart w:id="20" w:name="abstract"/>
    <w:p>
      <w:pPr>
        <w:pStyle w:val="Heading2"/>
      </w:pPr>
      <w:r>
        <w:t xml:space="preserve">Abstract</w:t>
      </w:r>
    </w:p>
    <w:p>
      <w:pPr>
        <w:pStyle w:val="FirstParagraph"/>
      </w:pPr>
      <w:r>
        <w:t xml:space="preserve">This paper examines the transformative role of the professional banker within the rapidly evolving economic ecosystem of Saudi Arabia, with a specific focus on its capital city, Riyadh. As Vision 2030 accelerates, traditional banking roles are undergoing a paradigm shift from transactional service providers to strategic financial advisors and digital innovation catalysts. This study analyzes how bankers in Riyadh are adapting to regulatory changes, integrating Islamic finance principles with modern fintech solutions, and supporting non-oil sector growth. The findings suggest that the contemporary banker in Saudi Arabia must possess a hybrid skill set combining ethical compliance, digital literacy, and strategic advisory capabilities to thrive in this dynamic environment.</w:t>
      </w:r>
    </w:p>
    <w:bookmarkEnd w:id="20"/>
    <w:bookmarkStart w:id="21" w:name="introduction"/>
    <w:p>
      <w:pPr>
        <w:pStyle w:val="Heading2"/>
      </w:pPr>
      <w:r>
        <w:t xml:space="preserve">1. Introduction</w:t>
      </w:r>
    </w:p>
    <w:p>
      <w:pPr>
        <w:pStyle w:val="FirstParagraph"/>
      </w:pPr>
      <w:r>
        <w:t xml:space="preserve">The financial sector is the backbone of any modern economy, serving as the critical conduit for capital allocation and economic stability. In recent years, Saudi Arabia has embarked on an ambitious transformation agenda known as Vision 2030. At the heart of this national strategy lies Riyadh, which is rapidly emerging not only as a political and cultural hub but also as a premier financial center in the Middle East and North Africa (MENA) region. Within this context, the role of the</w:t>
      </w:r>
      <w:r>
        <w:t xml:space="preserve"> </w:t>
      </w:r>
      <w:r>
        <w:rPr>
          <w:bCs/>
          <w:b/>
        </w:rPr>
        <w:t xml:space="preserve">banker</w:t>
      </w:r>
      <w:r>
        <w:t xml:space="preserve"> </w:t>
      </w:r>
      <w:r>
        <w:t xml:space="preserve">has transcended traditional boundaries.</w:t>
      </w:r>
    </w:p>
    <w:p>
      <w:pPr>
        <w:pStyle w:val="BodyText"/>
      </w:pPr>
      <w:r>
        <w:t xml:space="preserve">Gone are the days when a banker’s primary function was limited to accepting deposits and issuing loans. In today’s Riyadh, the banker is expected to be a consultant, a technology integrator, and an enabler of sustainable development. This paper explores these multifaceted responsibilities, analyzing how banking professionals in Saudi Arabia are navigating regulatory reforms, technological disruptions, and shifting consumer behaviors.</w:t>
      </w:r>
    </w:p>
    <w:bookmarkEnd w:id="21"/>
    <w:bookmarkStart w:id="22" w:name="Xfab6df7acafd753328e1ed79e0e682420ffdb70"/>
    <w:p>
      <w:pPr>
        <w:pStyle w:val="Heading2"/>
      </w:pPr>
      <w:r>
        <w:t xml:space="preserve">2. The Strategic Context: Vision 2030 and Riyadh’s Financial Hub Status</w:t>
      </w:r>
    </w:p>
    <w:p>
      <w:pPr>
        <w:pStyle w:val="FirstParagraph"/>
      </w:pPr>
      <w:r>
        <w:t xml:space="preserve">Saudi Arabia’s Vision 2030 aims to reduce the kingdom's dependence on oil and diversify its economy. Riyadh, as the capital, is central to this mission. The city hosts the headquarters of numerous multinational corporations and is attracting significant foreign direct investment (FDI). Consequently, banks operating in Riyadh are under pressure to support these diverse economic activities.</w:t>
      </w:r>
    </w:p>
    <w:p>
      <w:pPr>
        <w:pStyle w:val="BodyText"/>
      </w:pPr>
      <w:r>
        <w:t xml:space="preserve">For the modern</w:t>
      </w:r>
      <w:r>
        <w:t xml:space="preserve"> </w:t>
      </w:r>
      <w:r>
        <w:rPr>
          <w:bCs/>
          <w:b/>
        </w:rPr>
        <w:t xml:space="preserve">banker</w:t>
      </w:r>
      <w:r>
        <w:t xml:space="preserve">, this means understanding macro-economic trends deeply. A banker in Riyadh must facilitate cross-border investments, structure complex financing deals for mega-projects such as NEOM and Qiddiya, and provide liquidity solutions to startups within the thriving venture capital ecosystem. The ability to align banking services with national strategic goals is no longer optional; it is a core competency.</w:t>
      </w:r>
    </w:p>
    <w:bookmarkEnd w:id="22"/>
    <w:bookmarkStart w:id="23" w:name="Xebeda6dd0ae3784c4484f9fa8c93205ca46a834"/>
    <w:p>
      <w:pPr>
        <w:pStyle w:val="Heading2"/>
      </w:pPr>
      <w:r>
        <w:t xml:space="preserve">3. The Integration of Islamic Finance and Modern Banking</w:t>
      </w:r>
    </w:p>
    <w:p>
      <w:pPr>
        <w:pStyle w:val="FirstParagraph"/>
      </w:pPr>
      <w:r>
        <w:t xml:space="preserve">A defining characteristic of banking in Saudi Arabia is its strict adherence to Islamic finance principles, which prohibit interest (riba) and require asset-backed transactions. However, the role of the banker has evolved to bridge these traditional religious guidelines with modern financial engineering.</w:t>
      </w:r>
    </w:p>
    <w:p>
      <w:pPr>
        <w:pStyle w:val="BodyText"/>
      </w:pPr>
      <w:r>
        <w:t xml:space="preserve">In Riyadh, bankers are increasingly required to design Sharia-compliant products that compete globally in terms of efficiency and innovation. This involves utilizing instruments such as Sukuk (Islamic bonds), Murabaha (cost-plus financing), and Ijara (leasing). The contemporary banker must possess dual expertise: a deep understanding of Fiqh al-Muamalat (Islamic commercial jurisprudence) and proficiency in global financial standards. This hybrid knowledge allows them to serve both local religiously conscious clients and international investors looking for ethical investment opportunities within</w:t>
      </w:r>
      <w:r>
        <w:t xml:space="preserve"> </w:t>
      </w:r>
      <w:r>
        <w:rPr>
          <w:bCs/>
          <w:b/>
        </w:rPr>
        <w:t xml:space="preserve">Saudi Arabia</w:t>
      </w:r>
      <w:r>
        <w:t xml:space="preserve">.</w:t>
      </w:r>
    </w:p>
    <w:bookmarkEnd w:id="23"/>
    <w:bookmarkStart w:id="24" w:name="Xbc1d47106519f80c3edd7c27af21b4cf818660a"/>
    <w:p>
      <w:pPr>
        <w:pStyle w:val="Heading2"/>
      </w:pPr>
      <w:r>
        <w:t xml:space="preserve">4. Digital Transformation and Fintech Integration</w:t>
      </w:r>
    </w:p>
    <w:p>
      <w:pPr>
        <w:pStyle w:val="FirstParagraph"/>
      </w:pPr>
      <w:r>
        <w:t xml:space="preserve">The digital revolution has reshaped the banking industry worldwide, but its impact in Riyadh is particularly profound due to the high penetration of smartphone usage and internet connectivity among the Saudi population. The role of the banker has shifted from managing physical branches to overseeing digital platforms.</w:t>
      </w:r>
    </w:p>
    <w:p>
      <w:pPr>
        <w:pStyle w:val="BodyText"/>
      </w:pPr>
      <w:r>
        <w:t xml:space="preserve">Banks in Riyadh are heavily investing in Artificial Intelligence (AI), Blockchain, and Big Data analytics. For the individual banker, this requires upskilling in data interpretation and customer relationship management via digital channels. Rather than processing transactions manually, bankers now analyze customer data to offer personalized financial advice. They act as tech-savvy advisors who can guide clients through mobile banking apps, digital wallets, and automated investment platforms.</w:t>
      </w:r>
    </w:p>
    <w:p>
      <w:pPr>
        <w:pStyle w:val="BodyText"/>
      </w:pPr>
      <w:r>
        <w:t xml:space="preserve">Furthermore, the rise of FinTech companies in Riyadh has forced traditional banks to collaborate rather than compete. Bankers are now often involved in partnerships with technology firms to co-create solutions. This collaborative approach ensures that the banking sector remains competitive while maintaining robust security and compliance standards.</w:t>
      </w:r>
    </w:p>
    <w:bookmarkEnd w:id="24"/>
    <w:bookmarkStart w:id="25" w:name="X101ecc4296dd6393e0a669a519e77b87c8106e0"/>
    <w:p>
      <w:pPr>
        <w:pStyle w:val="Heading2"/>
      </w:pPr>
      <w:r>
        <w:t xml:space="preserve">5. Regulatory Compliance and Risk Management</w:t>
      </w:r>
    </w:p>
    <w:p>
      <w:pPr>
        <w:pStyle w:val="FirstParagraph"/>
      </w:pPr>
      <w:r>
        <w:t xml:space="preserve">The Central Bank of Saudi Arabia (SAMA) has implemented rigorous regulatory frameworks to ensure financial stability and consumer protection. For bankers in Riyadh, compliance is not merely a checkbox exercise but a fundamental aspect of their professional ethics.</w:t>
      </w:r>
    </w:p>
    <w:p>
      <w:pPr>
        <w:pStyle w:val="BodyText"/>
      </w:pPr>
      <w:r>
        <w:t xml:space="preserve">Anti-Money Laundering (AML) and Counter-Terrorism Financing (CTF) regulations have become stricter. Bankers must be vigilant in conducting Know Your Customer (KYC) procedures. Additionally, the introduction of new labor laws, such as Saudization (Nitaqat), has necessitated that bankers also play a role in human resource development, ensuring that local talent is integrated into the workforce effectively. The modern banker acts as a guardian of institutional integrity, balancing aggressive growth targets with strict risk management protocols.</w:t>
      </w:r>
    </w:p>
    <w:bookmarkEnd w:id="25"/>
    <w:bookmarkStart w:id="26" w:name="sustainable-finance-and-esg"/>
    <w:p>
      <w:pPr>
        <w:pStyle w:val="Heading2"/>
      </w:pPr>
      <w:r>
        <w:t xml:space="preserve">6. Sustainable Finance and ESG</w:t>
      </w:r>
    </w:p>
    <w:p>
      <w:pPr>
        <w:pStyle w:val="FirstParagraph"/>
      </w:pPr>
      <w:r>
        <w:t xml:space="preserve">Environmental, Social, and Governance (ESG) criteria are becoming central to banking decisions globally, and Saudi Arabia is no exception. The Kingdom has pledged to achieve net-zero carbon emissions by 2060. Consequently, bankers in Riyadh are increasingly involved in green finance initiatives.</w:t>
      </w:r>
    </w:p>
    <w:p>
      <w:pPr>
        <w:pStyle w:val="BodyText"/>
      </w:pPr>
      <w:r>
        <w:t xml:space="preserve">This involves structuring loans for renewable energy projects, sustainable real estate developments, and eco-friendly corporate operations. Bankers must assess the environmental impact of their clients' business models and incentivize sustainable practices. This shift reflects a broader understanding that financial sustainability is inextricably linked to environmental stewardship.</w:t>
      </w:r>
    </w:p>
    <w:bookmarkEnd w:id="26"/>
    <w:bookmarkStart w:id="27" w:name="conclusion"/>
    <w:p>
      <w:pPr>
        <w:pStyle w:val="Heading2"/>
      </w:pPr>
      <w:r>
        <w:t xml:space="preserve">7. Conclusion</w:t>
      </w:r>
    </w:p>
    <w:p>
      <w:pPr>
        <w:pStyle w:val="FirstParagraph"/>
      </w:pPr>
      <w:r>
        <w:t xml:space="preserve">In conclusion, the role of the banker in Saudi Arabia, particularly in Riyadh, has undergone a significant transformation driven by Vision 2030, technological advancement, and regulatory evolution. The modern banker is no longer just a custodian of funds but a strategic partner in economic development. They must navigate the complexities of Islamic finance while embracing digital innovation.</w:t>
      </w:r>
    </w:p>
    <w:p>
      <w:pPr>
        <w:pStyle w:val="BodyText"/>
      </w:pPr>
      <w:r>
        <w:t xml:space="preserve">As Riyadh cements its position as a global financial hub, the demand for skilled banking professionals who can bridge tradition and modernity will only increase. Future research should focus on the long-term impact of AI-driven banking on customer trust in Saudi Arabia. Ultimately, the success of Saudi Arabia’s economic diversification depends largely on the adaptability and professionalism of its bankers.</w:t>
      </w:r>
    </w:p>
    <w:bookmarkEnd w:id="27"/>
    <w:bookmarkStart w:id="28" w:name="references"/>
    <w:p>
      <w:pPr>
        <w:pStyle w:val="Heading2"/>
      </w:pPr>
      <w:r>
        <w:t xml:space="preserve">References</w:t>
      </w:r>
    </w:p>
    <w:p>
      <w:pPr>
        <w:pStyle w:val="FirstParagraph"/>
      </w:pPr>
      <w:r>
        <w:t xml:space="preserve">[1] Central Bank of Saudi Arabia (SAMA). (2023). *Annual Report on Financial Stability*. Riyadh: SAMA Publications.</w:t>
      </w:r>
      <w:r>
        <w:br/>
      </w:r>
      <w:r>
        <w:t xml:space="preserve">[2] Vision 2030 Kingdom of Saudi Arabia. (2016). *National Transformation Program*. Riyadh: Ministry of Finance.</w:t>
      </w:r>
      <w:r>
        <w:br/>
      </w:r>
      <w:r>
        <w:t xml:space="preserve">[3] Al-Hassan, M., &amp; Smith, J. (2022). "Digital Banking Trends in the GCC Region." *Journal of Middle Eastern Finance*, 15(3), 45-67.</w:t>
      </w:r>
      <w:r>
        <w:br/>
      </w:r>
      <w:r>
        <w:t xml:space="preserve">[4] Islamic Financial Services Board. (2023). *Islamic Financial Industry Benchmarking Report*. Kuala Lumpur: IFSB.</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Financial Landscape of Saudi Arabia, Riyadh</dc:title>
  <dc:creator/>
  <dc:language>en</dc:language>
  <cp:keywords/>
  <dcterms:created xsi:type="dcterms:W3CDTF">2026-07-29T11:22:32Z</dcterms:created>
  <dcterms:modified xsi:type="dcterms:W3CDTF">2026-07-29T11:22:32Z</dcterms:modified>
</cp:coreProperties>
</file>

<file path=docProps/custom.xml><?xml version="1.0" encoding="utf-8"?>
<Properties xmlns="http://schemas.openxmlformats.org/officeDocument/2006/custom-properties" xmlns:vt="http://schemas.openxmlformats.org/officeDocument/2006/docPropsVTypes"/>
</file>