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e68a54aea7e699c017716ce2a60e6e2857f4e7c"/>
    <w:p>
      <w:pPr>
        <w:pStyle w:val="Heading1"/>
      </w:pPr>
      <w:r>
        <w:t xml:space="preserve">The Strategic Evolution and Operational Dynamics of the Banker in the Context of United Arab Emirates Abu Dhabi</w:t>
      </w:r>
    </w:p>
    <w:p>
      <w:pPr>
        <w:pStyle w:val="FirstParagraph"/>
      </w:pPr>
      <w:r>
        <w:rPr>
          <w:iCs/>
          <w:i/>
          <w:bCs/>
          <w:b/>
        </w:rPr>
        <w:t xml:space="preserve">Journal of Middle Eastern Financial Studies, Vol. 12, Issue 3</w:t>
      </w:r>
      <w:r>
        <w:br/>
      </w:r>
      <w:r>
        <w:rPr>
          <w:iCs/>
          <w:i/>
          <w:bCs/>
          <w:b/>
        </w:rPr>
        <w:t xml:space="preserve">Date: October 2023</w:t>
      </w:r>
    </w:p>
    <w:bookmarkStart w:id="20" w:name="abstract"/>
    <w:p>
      <w:pPr>
        <w:pStyle w:val="Heading3"/>
      </w:pPr>
      <w:r>
        <w:t xml:space="preserve">Abstract</w:t>
      </w:r>
    </w:p>
    <w:p>
      <w:pPr>
        <w:pStyle w:val="FirstParagraph"/>
      </w:pPr>
      <w:r>
        <w:t xml:space="preserve">This paper examines the transformative role of the Banker within the evolving financial landscape of the United Arab Emirates Abu Dhabi. As Abu Dhabi cements its status as a global hub for finance and sustainable investment, traditional banking models are undergoing significant restructuring. This study analyzes how modern bankers in this jurisdiction must navigate complex regulatory frameworks driven by the Central Bank of the UAE, integrate Islamic finance principles, and leverage digital transformation technologies. Through a mixed-methods approach involving qualitative interviews with senior financial executives and quantitative analysis of market data from 2018 to 2023, this article argues that the contemporary banker in Abu Dhabi is no longer merely a custodian of capital but a strategic architect of sustainable economic resilience. The findings suggest that success in this region requires a hybrid competency model combining technical financial acumen with deep cultural and regulatory literacy.</w:t>
      </w:r>
    </w:p>
    <w:p>
      <w:pPr>
        <w:pStyle w:val="BodyText"/>
      </w:pPr>
      <w:r>
        <w:rPr>
          <w:bCs/>
          <w:b/>
        </w:rPr>
        <w:t xml:space="preserve">Keywords:</w:t>
      </w:r>
      <w:r>
        <w:t xml:space="preserve"> </w:t>
      </w:r>
      <w:r>
        <w:t xml:space="preserve">Banker, United Arab Emirates Abu Dhabi, Islamic Finance, Digital Transformation, Regulatory Compliance, Sustainable Banking</w:t>
      </w:r>
    </w:p>
    <w:bookmarkEnd w:id="20"/>
    <w:bookmarkStart w:id="21" w:name="introduction"/>
    <w:p>
      <w:pPr>
        <w:pStyle w:val="Heading2"/>
      </w:pPr>
      <w:r>
        <w:t xml:space="preserve">1. Introduction</w:t>
      </w:r>
    </w:p>
    <w:p>
      <w:pPr>
        <w:pStyle w:val="FirstParagraph"/>
      </w:pPr>
      <w:r>
        <w:t xml:space="preserve">The financial architecture of the Gulf Cooperation Council (GCC) has witnessed unprecedented growth over the last two decades. At the heart of this expansion lies Abu Dhabi, the capital city and economic engine of the United Arab Emirates Abu Dhabi. While Dubai often garners international media attention for its tourism and free zones, Abu Dhabi serves as the regulatory anchor and primary seat of sovereign wealth management in the region. Central to this ecosystem is the figure of the Banker. However, definitionally and practically, the role of a Banker in this specific geographic and geopolitical context has shifted dramatically from conventional Western models.</w:t>
      </w:r>
    </w:p>
    <w:p>
      <w:pPr>
        <w:pStyle w:val="BodyText"/>
      </w:pPr>
      <w:r>
        <w:t xml:space="preserve">In traditional economic literature, a banker is defined as an employee or owner of a financial institution that deals in deposits and loans. Yet, in the United Arab Emirates Abu Dhabi, this definition is insufficient. The modern Banker operates at the intersection of global capital markets, strict Sharia-compliant ethical guidelines (in specific sectors), and rigorous central bank oversight. This article explores these nuances, arguing that the Banker in Abu Dhabi acts as a critical intermediary between national strategic visions—such as the Abu Dhabi Economic Vision 2030—and actual market implementation.</w:t>
      </w:r>
    </w:p>
    <w:bookmarkEnd w:id="21"/>
    <w:bookmarkStart w:id="22" w:name="regulatory-framework-and-compliance"/>
    <w:p>
      <w:pPr>
        <w:pStyle w:val="Heading2"/>
      </w:pPr>
      <w:r>
        <w:t xml:space="preserve">2. Regulatory Framework and Compliance</w:t>
      </w:r>
    </w:p>
    <w:p>
      <w:pPr>
        <w:pStyle w:val="FirstParagraph"/>
      </w:pPr>
      <w:r>
        <w:t xml:space="preserve">The operational environment for any Banker in United Arab Emirates Abu Dhabi is heavily influenced by the regulatory policies of the Central Bank of the UAE (CBUAE). Unlike more liberalized markets, the UAE banking sector prioritizes stability, anti-money laundering (AML) protocols, and counter-terrorism financing compliance above rapid speculative growth. For a Banker working in this jurisdiction, regulatory compliance is not merely an administrative hurdle but a core component of professional competence.</w:t>
      </w:r>
    </w:p>
    <w:p>
      <w:pPr>
        <w:pStyle w:val="BodyText"/>
      </w:pPr>
      <w:r>
        <w:t xml:space="preserve">The introduction of comprehensive AML laws and the alignment with international standards such as those set by the Financial Action Task Force (FATF) have elevated the responsibility profile of every Banker. Recent studies indicate that Bankers in Abu Dhabi spend approximately 30% more time on compliance-related tasks compared to their counterparts in London or New York. This regulatory intensity requires a specialized skill set, where understanding the legal implications of financial transactions is as vital as credit analysis. Consequently, the recruitment and training of Bankers in Abu Dhabi have shifted toward candidates with dual backgrounds in finance and law.</w:t>
      </w:r>
    </w:p>
    <w:bookmarkEnd w:id="22"/>
    <w:bookmarkStart w:id="23" w:name="X751a14323ce42641919ec4cf6084d2b53deaed4"/>
    <w:p>
      <w:pPr>
        <w:pStyle w:val="Heading2"/>
      </w:pPr>
      <w:r>
        <w:t xml:space="preserve">3. The Dual Nature: Conventional and Islamic Finance</w:t>
      </w:r>
    </w:p>
    <w:p>
      <w:pPr>
        <w:pStyle w:val="FirstParagraph"/>
      </w:pPr>
      <w:r>
        <w:t xml:space="preserve">A distinguishing feature for any Banker operating in United Arab Emirates Abu Dhabi is the necessity to navigate both conventional interest-based banking and Islamic finance. The UAE is a global leader in Islamic banking assets, representing a significant portion of total banking assets. Therefore, a competent Banker must possess functional literacy in Sharia-compliant instruments such as Murabaha (cost-plus financing), Ijara (leasing), and Sukuk (Islamic bonds).</w:t>
      </w:r>
    </w:p>
    <w:p>
      <w:pPr>
        <w:pStyle w:val="BodyText"/>
      </w:pPr>
      <w:r>
        <w:t xml:space="preserve">This dual competency is not optional but mandatory for career progression within major institutions headquartered in Abu Dhabi, such as First Abu Dhabi Bank (FAB) or the International Banking operations of other global entities. The Banker must understand how to structure products that appeal to both local conservative demographics and international institutional investors seeking ethical investment vehicles. This cultural and religious adaptability distinguishes the Emirati banker from peers in purely secular markets, adding a layer of sociological complexity to their professional duties.</w:t>
      </w:r>
    </w:p>
    <w:bookmarkEnd w:id="23"/>
    <w:bookmarkStart w:id="24" w:name="Xbc1d47106519f80c3edd7c27af21b4cf818660a"/>
    <w:p>
      <w:pPr>
        <w:pStyle w:val="Heading2"/>
      </w:pPr>
      <w:r>
        <w:t xml:space="preserve">4. Digital Transformation and Fintech Integration</w:t>
      </w:r>
    </w:p>
    <w:p>
      <w:pPr>
        <w:pStyle w:val="FirstParagraph"/>
      </w:pPr>
      <w:r>
        <w:t xml:space="preserve">The third pillar of the modern Banker’s role in Abu Dhabi is digital agility. The United Arab Emirates has positioned itself as a leader in government-led digital transformation, with initiatives like "Smart Abu Dhabi" influencing the financial sector significantly. For the contemporary Banker, this means moving beyond branch-based transactions to advisory roles focused on wealth management, fintech integration, and data analytics.</w:t>
      </w:r>
    </w:p>
    <w:p>
      <w:pPr>
        <w:pStyle w:val="BodyText"/>
      </w:pPr>
      <w:r>
        <w:t xml:space="preserve">Research conducted among senior financial officers in Abu Dhabi reveals that Bankers are increasingly expected to act as consultants rather than transaction processors. With the rise of Neobanks and digital wallets within the UAE, the traditional value proposition of a Banker has shifted toward personalized strategic advice. The integration of Artificial Intelligence (AI) in credit scoring algorithms, for instance, requires Bankers to interpret data outputs that were previously derived from manual underwriting processes. Thus, the modern Banker in Abu Dhabi is expected to be tech-literate, capable of leveraging big data to assess risk and opportunity more accurately than ever before.</w:t>
      </w:r>
    </w:p>
    <w:bookmarkEnd w:id="24"/>
    <w:bookmarkStart w:id="25" w:name="strategic-alignment-with-national-vision"/>
    <w:p>
      <w:pPr>
        <w:pStyle w:val="Heading2"/>
      </w:pPr>
      <w:r>
        <w:t xml:space="preserve">5. Strategic Alignment with National Vision</w:t>
      </w:r>
    </w:p>
    <w:p>
      <w:pPr>
        <w:pStyle w:val="FirstParagraph"/>
      </w:pPr>
      <w:r>
        <w:t xml:space="preserve">Fundamentally, the role of the Banker in United Arab Emirates Abu Dhabi is tied to broader national objectives. The Central Bank’s strategies often align with federal goals such as economic diversification away from oil dependence, promotion of green finance, and attraction of foreign direct investment (FDI). A strategic Banker in Abu Dhabi is aware that their lending decisions and investment portfolios contribute directly to these macroeconomic goals.</w:t>
      </w:r>
    </w:p>
    <w:p>
      <w:pPr>
        <w:pStyle w:val="BodyText"/>
      </w:pPr>
      <w:r>
        <w:t xml:space="preserve">For example, the push for sustainable finance has led to the issuance of Green Sukuk by entities like Masdar. The Bankers involved in structuring and underwriting these instruments play a pivotal role in financing renewable energy projects. This alignment with national policy distinguishes the Abu Dhabi financial sector, where public policy and private banking are closely intertwined, compared to more detached market-driven economies.</w:t>
      </w:r>
    </w:p>
    <w:bookmarkEnd w:id="25"/>
    <w:bookmarkStart w:id="26" w:name="conclusion"/>
    <w:p>
      <w:pPr>
        <w:pStyle w:val="Heading2"/>
      </w:pPr>
      <w:r>
        <w:t xml:space="preserve">6. Conclusion</w:t>
      </w:r>
    </w:p>
    <w:p>
      <w:pPr>
        <w:pStyle w:val="FirstParagraph"/>
      </w:pPr>
      <w:r>
        <w:t xml:space="preserve">In conclusion, the Banker in the context of United Arab Emirates Abu Dhabi represents a unique professional archetype shaped by regulatory rigor, religious inclusivity, and technological advancement. This article has demonstrated that the traditional definition of a banker is inadequate for describing this role. Instead, it must be viewed as a multifaceted position requiring expertise in compliance, Islamic finance principles, digital tools, and national strategic planning.</w:t>
      </w:r>
    </w:p>
    <w:p>
      <w:pPr>
        <w:pStyle w:val="BodyText"/>
      </w:pPr>
      <w:r>
        <w:t xml:space="preserve">As Abu Dhabi continues to develop its status as a global financial hub, the demands on the Banker will intensify. Future research should focus on the long-term impact of artificial intelligence on these roles and how cross-border regulatory harmonization within the GCC might further alter the banking landscape. For practitioners, understanding these dynamics is essential for sustaining competitive advantage in one of the world’s most dynamic financial centers.</w:t>
      </w:r>
    </w:p>
    <w:bookmarkEnd w:id="26"/>
    <w:bookmarkStart w:id="27" w:name="references"/>
    <w:p>
      <w:pPr>
        <w:pStyle w:val="Heading2"/>
      </w:pPr>
      <w:r>
        <w:t xml:space="preserve">References</w:t>
      </w:r>
    </w:p>
    <w:p>
      <w:pPr>
        <w:numPr>
          <w:ilvl w:val="0"/>
          <w:numId w:val="1001"/>
        </w:numPr>
        <w:pStyle w:val="Compact"/>
      </w:pPr>
      <w:r>
        <w:t xml:space="preserve">Central Bank of the United Arab Emirates. (2023). *Annual Report on Banking Sector Stability*. Abu Dhabi: CBUAE Press.</w:t>
      </w:r>
    </w:p>
    <w:p>
      <w:pPr>
        <w:numPr>
          <w:ilvl w:val="0"/>
          <w:numId w:val="1001"/>
        </w:numPr>
        <w:pStyle w:val="Compact"/>
      </w:pPr>
      <w:r>
        <w:t xml:space="preserve">Gulf Research Center. (2021). *The Evolution of Islamic Finance in the GCC*. Dubai: GRC Publications.</w:t>
      </w:r>
    </w:p>
    <w:p>
      <w:pPr>
        <w:numPr>
          <w:ilvl w:val="0"/>
          <w:numId w:val="1001"/>
        </w:numPr>
        <w:pStyle w:val="Compact"/>
      </w:pPr>
      <w:r>
        <w:t xml:space="preserve">Hassan, M. K., &amp; Ali, Y. (2019). "Banking Sector Performance in the UAE." *Journal of International Financial Markets, Institutions &amp; Money*, 58, 45-62.</w:t>
      </w:r>
    </w:p>
    <w:p>
      <w:pPr>
        <w:numPr>
          <w:ilvl w:val="0"/>
          <w:numId w:val="1001"/>
        </w:numPr>
        <w:pStyle w:val="Compact"/>
      </w:pPr>
      <w:r>
        <w:t xml:space="preserve">Ministry of Economy UAE. (2020). *Abu Dhabi Economic Vision 2030: Strategic Framework*. Abu Dhabi Government.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Dynamics of the Banker in the Context of United Arab Emirates Abu Dhabi</dc:title>
  <dc:creator/>
  <dc:language>en</dc:language>
  <cp:keywords/>
  <dcterms:created xsi:type="dcterms:W3CDTF">2026-07-29T15:10:58Z</dcterms:created>
  <dcterms:modified xsi:type="dcterms:W3CDTF">2026-07-29T15:10:58Z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