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Uzbekistan:</w:t>
      </w:r>
      <w:r>
        <w:t xml:space="preserve"> </w:t>
      </w:r>
      <w:r>
        <w:t xml:space="preserve">A</w:t>
      </w:r>
      <w:r>
        <w:t xml:space="preserve"> </w:t>
      </w:r>
      <w:r>
        <w:t xml:space="preserve">Tashkent-Centric</w:t>
      </w:r>
      <w:r>
        <w:t xml:space="preserve"> </w:t>
      </w:r>
      <w:r>
        <w:t xml:space="preserve">Analysis</w:t>
      </w:r>
    </w:p>
    <w:p>
      <w:pPr>
        <w:pStyle w:val="FirstParagraph"/>
      </w:pPr>
      <w:r>
        <w:t xml:space="preserve">```html</w:t>
      </w:r>
    </w:p>
    <w:bookmarkStart w:id="31" w:name="X170dd3f19c4851abadd2c71e187e84131ed7c51"/>
    <w:p>
      <w:pPr>
        <w:pStyle w:val="Heading1"/>
      </w:pPr>
      <w:r>
        <w:t xml:space="preserve">The Evolving Role of the Banker in Uzbekistan: A Tashkent-Centric Analysis</w:t>
      </w:r>
    </w:p>
    <w:p>
      <w:pPr>
        <w:pStyle w:val="FirstParagraph"/>
      </w:pPr>
      <w:r>
        <w:rPr>
          <w:bCs/>
          <w:b/>
        </w:rPr>
        <w:t xml:space="preserve">Abstract:</w:t>
      </w:r>
    </w:p>
    <w:p>
      <w:pPr>
        <w:pStyle w:val="BodyText"/>
      </w:pPr>
      <w:r>
        <w:t xml:space="preserve">This article explores the transformational trajectory of banking professionals, specifically bankers, within the dynamic economic landscape of Uzbekistan. Focusing on Tashkent as the primary financial hub, we analyze how modern bankers are adapting to digitalization, regulatory reforms initiated by the Central Bank of Uzbekistan (CBU), and shifting consumer behaviors. The study posits that the traditional image of a banker is rapidly evolving into that of a strategic financial advisor and technology integrator. Through qualitative analysis of market trends in Tashkent, this paper highlights the critical role bankers play in fostering financial inclusion and driving sustainable economic growth.</w:t>
      </w:r>
    </w:p>
    <w:p>
      <w:pPr>
        <w:pStyle w:val="BodyText"/>
      </w:pPr>
      <w:r>
        <w:t xml:space="preserve">Keywords: Banker, Uzbekistan, Tashkent, Digital Banking, Financial Inclusion, CBU Reforms</w:t>
      </w:r>
    </w:p>
    <w:bookmarkStart w:id="20" w:name="introduction"/>
    <w:p>
      <w:pPr>
        <w:pStyle w:val="Heading2"/>
      </w:pPr>
      <w:r>
        <w:t xml:space="preserve">1. Introduction</w:t>
      </w:r>
    </w:p>
    <w:p>
      <w:pPr>
        <w:pStyle w:val="FirstParagraph"/>
      </w:pPr>
      <w:r>
        <w:t xml:space="preserve">The financial sector in Uzbekistan has undergone profound changes over the past decade. Following the economic liberalization reforms initiated in 2017 and subsequent years, the banking system has opened up to foreign investment and modernized its operational frameworks. Within this context, Tashkent, as the capital and largest city of Uzbekistan, stands as a critical epicenter for these developments. It is here that major commercial banks have established their headquarters, making it a focal point for financial innovation.</w:t>
      </w:r>
    </w:p>
    <w:p>
      <w:pPr>
        <w:pStyle w:val="BodyText"/>
      </w:pPr>
      <w:r>
        <w:t xml:space="preserve">In this rapidly changing environment, the role of the</w:t>
      </w:r>
      <w:r>
        <w:t xml:space="preserve"> </w:t>
      </w:r>
      <w:r>
        <w:rPr>
          <w:bCs/>
          <w:b/>
        </w:rPr>
        <w:t xml:space="preserve">banker</w:t>
      </w:r>
      <w:r>
        <w:t xml:space="preserve"> </w:t>
      </w:r>
      <w:r>
        <w:t xml:space="preserve">has shifted significantly. Historically viewed primarily as custodians of capital and processors of transactions, modern bankers in Tashkent are increasingly expected to act as architects of financial solutions for individuals and corporations alike. This article aims to dissect these changes, examining how bankers in Uzbekistan’s capital are navigating regulatory shifts, technological adoption, and the demand for personalized financial services.</w:t>
      </w:r>
    </w:p>
    <w:bookmarkEnd w:id="20"/>
    <w:bookmarkStart w:id="23" w:name="Xad250e7a3d50910615dc016a51eb10c051afc47"/>
    <w:p>
      <w:pPr>
        <w:pStyle w:val="Heading2"/>
      </w:pPr>
      <w:r>
        <w:t xml:space="preserve">2. Regulatory Frameworks and the Banker’s Compliance Role</w:t>
      </w:r>
    </w:p>
    <w:p>
      <w:pPr>
        <w:pStyle w:val="FirstParagraph"/>
      </w:pPr>
      <w:r>
        <w:t xml:space="preserve">The Central Bank of Uzbekistan (CBU) has been instrumental in shaping the modern banking landscape in Tashkent. Recent reforms have emphasized transparency, risk management, and adherence to international standards such as Basel III. For a banker operating in Tashkent, understanding and implementing these regulations is no longer optional; it is foundational to their professional efficacy.</w:t>
      </w:r>
    </w:p>
    <w:bookmarkStart w:id="21" w:name="Xaff221e5e97775e1658fba7a0b69f25e90b063c"/>
    <w:p>
      <w:pPr>
        <w:pStyle w:val="Heading3"/>
      </w:pPr>
      <w:r>
        <w:t xml:space="preserve">2.1 Anti-Money Laundering (AML) and Counter-Financing of Terrorism (CFT)</w:t>
      </w:r>
    </w:p>
    <w:p>
      <w:pPr>
        <w:pStyle w:val="FirstParagraph"/>
      </w:pPr>
      <w:r>
        <w:t xml:space="preserve">Bankers in Uzbekistan are tasked with rigorous due diligence processes. In Tashkent, where cross-border trade is significant, bankers must ensure that all transactions comply with stringent AML/CFT regulations. This requires a deep understanding of global financial flows and the ability to identify red flags in complex transaction structures. The modern banker is thus part investigator, ensuring the integrity of the financial system.</w:t>
      </w:r>
    </w:p>
    <w:bookmarkEnd w:id="21"/>
    <w:bookmarkStart w:id="22" w:name="capital-adequacy-and-risk-management"/>
    <w:p>
      <w:pPr>
        <w:pStyle w:val="Heading3"/>
      </w:pPr>
      <w:r>
        <w:t xml:space="preserve">2.2 Capital Adequacy and Risk Management</w:t>
      </w:r>
    </w:p>
    <w:p>
      <w:pPr>
        <w:pStyle w:val="FirstParagraph"/>
      </w:pPr>
      <w:r>
        <w:t xml:space="preserve">To maintain stability, Uzbek banks must meet specific capital adequacy ratios set by the CBU. Bankers in Tashkent are responsible for assessing credit risks associated with loans to various sectors, including agriculture, manufacturing, and services. Effective risk management strategies employed by these bankers contribute directly to the resilience of the broader Uzbek economy.</w:t>
      </w:r>
    </w:p>
    <w:bookmarkEnd w:id="22"/>
    <w:bookmarkEnd w:id="23"/>
    <w:bookmarkStart w:id="26" w:name="X0b5818679042a5d777d6fc5dc05ad0d9b936622"/>
    <w:p>
      <w:pPr>
        <w:pStyle w:val="Heading2"/>
      </w:pPr>
      <w:r>
        <w:t xml:space="preserve">3. Digital Transformation and Technological Integration</w:t>
      </w:r>
    </w:p>
    <w:p>
      <w:pPr>
        <w:pStyle w:val="FirstParagraph"/>
      </w:pPr>
      <w:r>
        <w:t xml:space="preserve">The most significant challenge facing today’s banker in Tashkent is the rapid pace of digital transformation. With a young, tech-savvy population, demand for mobile banking solutions has skyrocketed. Bankers are no longer just dealing with physical branches; they must engage with customers through apps, online portals, and increasingly, AI-driven chatbots.</w:t>
      </w:r>
    </w:p>
    <w:bookmarkStart w:id="24" w:name="fintech-partnerships"/>
    <w:p>
      <w:pPr>
        <w:pStyle w:val="Heading3"/>
      </w:pPr>
      <w:r>
        <w:t xml:space="preserve">3.1 Fintech Partnerships</w:t>
      </w:r>
    </w:p>
    <w:p>
      <w:pPr>
        <w:pStyle w:val="FirstParagraph"/>
      </w:pPr>
      <w:r>
        <w:t xml:space="preserve">Banks in Tashkent are actively collaborating with fintech startups to enhance their service offerings. Bankers play a crucial role in evaluating these partnerships, ensuring that technological integrations align with customer needs and regulatory requirements. This shift requires bankers to possess not only financial acumen but also a basic understanding of technology trends.</w:t>
      </w:r>
    </w:p>
    <w:bookmarkEnd w:id="24"/>
    <w:bookmarkStart w:id="25" w:name="cybersecurity-awareness"/>
    <w:p>
      <w:pPr>
        <w:pStyle w:val="Heading3"/>
      </w:pPr>
      <w:r>
        <w:t xml:space="preserve">3.2 Cybersecurity Awareness</w:t>
      </w:r>
    </w:p>
    <w:p>
      <w:pPr>
        <w:pStyle w:val="FirstParagraph"/>
      </w:pPr>
      <w:r>
        <w:t xml:space="preserve">In the digital age, cybersecurity is paramount. Bankers in Uzbekistan must educate their clients on safe banking practices while working closely with IT departments to protect sensitive data. The role of the banker extends into being a guardian of customer trust in an increasingly virtual financial space.</w:t>
      </w:r>
    </w:p>
    <w:bookmarkEnd w:id="25"/>
    <w:bookmarkEnd w:id="26"/>
    <w:bookmarkStart w:id="29" w:name="Xb4bedaf661eefa4e8d58bb6df8be67a1ef7233e"/>
    <w:p>
      <w:pPr>
        <w:pStyle w:val="Heading2"/>
      </w:pPr>
      <w:r>
        <w:t xml:space="preserve">4. Financial Inclusion and Social Responsibility</w:t>
      </w:r>
    </w:p>
    <w:p>
      <w:pPr>
        <w:pStyle w:val="FirstParagraph"/>
      </w:pPr>
      <w:r>
        <w:t xml:space="preserve">A key objective for the CBU is to expand financial inclusion across Uzbekistan, reaching rural areas that have historically been underserved. Bankers in Tashkent are at the forefront of this mission, developing innovative products tailored to micro-enterprises and smallholder farmers.</w:t>
      </w:r>
    </w:p>
    <w:bookmarkStart w:id="27" w:name="microfinance-and-sme-lending"/>
    <w:p>
      <w:pPr>
        <w:pStyle w:val="Heading3"/>
      </w:pPr>
      <w:r>
        <w:t xml:space="preserve">4.1 Microfinance and SME Lending</w:t>
      </w:r>
    </w:p>
    <w:p>
      <w:pPr>
        <w:pStyle w:val="FirstParagraph"/>
      </w:pPr>
      <w:r>
        <w:t xml:space="preserve">To support Small and Medium Enterprises (SMEs), which are vital for job creation in Uzbekistan, bankers are creating specialized loan products. This involves assessing the viability of smaller businesses that may lack extensive credit histories. By adopting alternative data sources for credit scoring, bankers in Tashkent can extend financial services to previously excluded populations.</w:t>
      </w:r>
    </w:p>
    <w:bookmarkEnd w:id="27"/>
    <w:bookmarkStart w:id="28" w:name="financial-literacy-programs"/>
    <w:p>
      <w:pPr>
        <w:pStyle w:val="Heading3"/>
      </w:pPr>
      <w:r>
        <w:t xml:space="preserve">4.2 Financial Literacy Programs</w:t>
      </w:r>
    </w:p>
    <w:p>
      <w:pPr>
        <w:pStyle w:val="FirstParagraph"/>
      </w:pPr>
      <w:r>
        <w:t xml:space="preserve">Beyond lending, bankers are engaging in educational initiatives. Banks headquartered in Tashkent often sponsor workshops and online courses to improve financial literacy among the general public. This proactive approach not only empowers citizens but also cultivates a more stable and informed customer base.</w:t>
      </w:r>
    </w:p>
    <w:bookmarkEnd w:id="28"/>
    <w:bookmarkEnd w:id="29"/>
    <w:bookmarkStart w:id="30" w:name="challenges-facing-bankers-in-tashkent"/>
    <w:p>
      <w:pPr>
        <w:pStyle w:val="Heading2"/>
      </w:pPr>
      <w:r>
        <w:t xml:space="preserve">5. Challenges Facing Bankers in Tashkent</w:t>
      </w:r>
    </w:p>
    <w:p>
      <w:pPr>
        <w:pStyle w:val="FirstParagraph"/>
      </w:pPr>
      <w:r>
        <w:t xml:space="preserve">Despite progress, bankers in Uzbekistan face several challenges:</w:t>
      </w:r>
    </w:p>
    <w:p>
      <w:pPr>
        <w:numPr>
          <w:ilvl w:val="0"/>
          <w:numId w:val="1001"/>
        </w:numPr>
        <w:pStyle w:val="Compact"/>
      </w:pPr>
      <w:r>
        <w:rPr>
          <w:bCs/>
          <w:b/>
        </w:rPr>
        <w:t xml:space="preserve">Talent Shortage:</w:t>
      </w:r>
      <w:r>
        <w:t xml:space="preserve"> </w:t>
      </w:r>
      <w:r>
        <w:t xml:space="preserve">There is a growing demand for skilled professionals who understand both finance and technology.</w:t>
      </w:r>
    </w:p>
    <w:p>
      <w:pPr>
        <w:numPr>
          <w:ilvl w:val="0"/>
          <w:numId w:val="1001"/>
        </w:numPr>
        <w:pStyle w:val="Compact"/>
      </w:pPr>
      <w:r>
        <w:rPr>
          <w:bCs/>
          <w:b/>
        </w:rPr>
        <w:t xml:space="preserve">Economic Volatility:</w:t>
      </w:r>
      <w:r>
        <w:t xml:space="preserve"> </w:t>
      </w:r>
      <w:r>
        <w:t xml:space="preserve">Global economic uncertainties can impact local lending practices and investment strategies.</w:t>
      </w:r>
    </w:p>
    <w:p>
      <w:pPr>
        <w:numPr>
          <w:ilvl w:val="0"/>
          <w:numId w:val="1001"/>
        </w:numPr>
        <w:pStyle w:val="Compact"/>
      </w:pPr>
      <w:r>
        <w:rPr>
          <w:bCs/>
          <w:b/>
        </w:rPr>
        <w:t xml:space="preserve">Cultural Shifts:</w:t>
      </w:r>
      <w:r>
        <w:t xml:space="preserve"> </w:t>
      </w:r>
      <w:r>
        <w:t xml:space="preserve">Moving from a cash-heavy society to a digital one requires significant behavioral change among customers, which bankers must facilitate patiently.</w:t>
      </w:r>
    </w:p>
    <w:bookmarkEnd w:id="30"/>
    <w:bookmarkEnd w:id="31"/>
    <w:bookmarkStart w:id="32" w:name="future-outlook"/>
    <w:p>
      <w:pPr>
        <w:pStyle w:val="Heading2"/>
      </w:pPr>
      <w:r>
        <w:t xml:space="preserve">6. Future Outlook</w:t>
      </w:r>
    </w:p>
    <w:p>
      <w:pPr>
        <w:pStyle w:val="FirstParagraph"/>
      </w:pPr>
      <w:r>
        <w:t xml:space="preserve">The future for bankers in Tashkent is promising yet demanding. As Uzbekistan continues to integrate into the global economy, the sophistication of financial products and services will increase. Bankers must remain adaptable, continuously updating their skills to meet new challenges.</w:t>
      </w:r>
    </w:p>
    <w:p>
      <w:pPr>
        <w:pStyle w:val="BodyText"/>
      </w:pPr>
      <w:r>
        <w:t xml:space="preserve">Innovation hubs in Tashkent are likely to emerge as centers for financial experimentation. Bankers who embrace innovation, prioritize customer experience, and uphold ethical standards will be best positioned to thrive. Furthermore, the role of the banker may expand into areas such as sustainable finance and ESG (Environmental, Social, and Governance) investing, reflecting global trends.</w:t>
      </w:r>
    </w:p>
    <w:bookmarkEnd w:id="32"/>
    <w:bookmarkStart w:id="34" w:name="conclusion"/>
    <w:p>
      <w:pPr>
        <w:pStyle w:val="Heading2"/>
      </w:pPr>
      <w:r>
        <w:t xml:space="preserve">7. Conclusion</w:t>
      </w:r>
    </w:p>
    <w:p>
      <w:pPr>
        <w:pStyle w:val="FirstParagraph"/>
      </w:pPr>
      <w:r>
        <w:t xml:space="preserve">The transformation of the banking sector in Uzbekistan is a testament to the country’s commitment to economic modernization. In Tashkent, bankers are central to this transformation. They are evolving from traditional intermediaries into dynamic financial advisors, technology integrators, and champions of financial inclusion.</w:t>
      </w:r>
    </w:p>
    <w:p>
      <w:pPr>
        <w:pStyle w:val="BodyText"/>
      </w:pPr>
      <w:r>
        <w:t xml:space="preserve">As Uzbekistan moves forward, the success of its banking sector will depend on the ability of its bankers to navigate regulatory complexities, embrace technological advancements, and serve a diverse clientele effectively. The banker in Tashkent is not just a participant in the economy but a key driver of its future prosperity.</w:t>
      </w:r>
    </w:p>
    <w:p>
      <w:r>
        <w:pict>
          <v:rect style="width:0;height:1.5pt" o:hralign="center" o:hrstd="t" o:hr="t"/>
        </w:pict>
      </w:r>
    </w:p>
    <w:bookmarkStart w:id="33" w:name="references"/>
    <w:p>
      <w:pPr>
        <w:pStyle w:val="Heading3"/>
      </w:pPr>
      <w:r>
        <w:t xml:space="preserve">References</w:t>
      </w:r>
    </w:p>
    <w:p>
      <w:pPr>
        <w:pStyle w:val="FirstParagraph"/>
      </w:pPr>
      <w:r>
        <w:rPr>
          <w:iCs/>
          <w:i/>
        </w:rPr>
        <w:t xml:space="preserve">Note: References are illustrative for the purpose of this document.</w:t>
      </w:r>
    </w:p>
    <w:p>
      <w:pPr>
        <w:numPr>
          <w:ilvl w:val="0"/>
          <w:numId w:val="1002"/>
        </w:numPr>
        <w:pStyle w:val="Compact"/>
      </w:pPr>
      <w:r>
        <w:t xml:space="preserve">- Central Bank of Uzbekistan. (2023). Annual Report on Financial Stability.</w:t>
      </w:r>
    </w:p>
    <w:p>
      <w:pPr>
        <w:numPr>
          <w:ilvl w:val="0"/>
          <w:numId w:val="1002"/>
        </w:numPr>
        <w:pStyle w:val="Compact"/>
      </w:pPr>
      <w:r>
        <w:t xml:space="preserve">- World Bank. (2022). Uzbekistan Economic Update: Driving Private Sector Development.</w:t>
      </w:r>
    </w:p>
    <w:p>
      <w:pPr>
        <w:numPr>
          <w:ilvl w:val="0"/>
          <w:numId w:val="1002"/>
        </w:numPr>
        <w:pStyle w:val="Compact"/>
      </w:pPr>
      <w:r>
        <w:t xml:space="preserve">- International Monetary Fund. (2021). Article IV Consultation with Uzbekistan.</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Uzbekistan: A Tashkent-Centric Analysis</dc:title>
  <dc:creator/>
  <dc:language>en</dc:language>
  <cp:keywords/>
  <dcterms:created xsi:type="dcterms:W3CDTF">2026-07-29T20:12:09Z</dcterms:created>
  <dcterms:modified xsi:type="dcterms:W3CDTF">2026-07-29T20:12:09Z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