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r>
        <w:t xml:space="preserve"> </w:t>
      </w:r>
      <w:r>
        <w:t xml:space="preserve">Argentina</w:t>
      </w:r>
    </w:p>
    <w:bookmarkStart w:id="30" w:name="X0ffd50ee061092b7490f88b518ff1378e88aa09"/>
    <w:p>
      <w:pPr>
        <w:pStyle w:val="Heading1"/>
      </w:pPr>
      <w:r>
        <w:t xml:space="preserve">The Strategic Imperative of Business Consulting in Emerging Markets:</w:t>
      </w:r>
      <w:r>
        <w:br/>
      </w:r>
      <w:r>
        <w:t xml:space="preserve">A Case Study of Buenos Aires, Argentina</w:t>
      </w:r>
    </w:p>
    <w:p>
      <w:pPr>
        <w:pStyle w:val="FirstParagraph"/>
      </w:pPr>
      <w:r>
        <w:rPr>
          <w:bCs/>
          <w:b/>
        </w:rPr>
        <w:t xml:space="preserve">Author:</w:t>
      </w:r>
      <w:r>
        <w:br/>
      </w:r>
      <w:r>
        <w:t xml:space="preserve">Juan P. Valdez</w:t>
      </w:r>
      <w:r>
        <w:br/>
      </w:r>
      <w:r>
        <w:t xml:space="preserve">Institute for Economic Development and Corporate Strategy</w:t>
      </w:r>
      <w:r>
        <w:br/>
      </w:r>
      <w:r>
        <w:t xml:space="preserve">Buenos Aires, Argentina</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Business Consultant</w:t>
      </w:r>
      <w:r>
        <w:t xml:space="preserve"> </w:t>
      </w:r>
      <w:r>
        <w:t xml:space="preserve">within the volatile economic landscape of emerging markets, specifically focusing on the metropolitan region of</w:t>
      </w:r>
      <w:r>
        <w:t xml:space="preserve"> </w:t>
      </w:r>
      <w:r>
        <w:rPr>
          <w:bCs/>
          <w:b/>
        </w:rPr>
        <w:t xml:space="preserve">Buenos Aires, Argentina</w:t>
      </w:r>
      <w:r>
        <w:t xml:space="preserve">. While global literature often treats consulting as a static function of efficiency optimization, this study argues that in high-inflation economies with complex regulatory frameworks, the consultant acts as a strategic navigator. Through an analysis of market trends between 2018 and 2023, we explore how local expertise mitigates systemic risk for multinational corporations and domestic enterprises alike. The findings suggest that successful intervention in</w:t>
      </w:r>
      <w:r>
        <w:t xml:space="preserve"> </w:t>
      </w:r>
      <w:r>
        <w:rPr>
          <w:bCs/>
          <w:b/>
        </w:rPr>
        <w:t xml:space="preserve">Buenos Aires</w:t>
      </w:r>
      <w:r>
        <w:t xml:space="preserve"> </w:t>
      </w:r>
      <w:r>
        <w:t xml:space="preserve">requires not only standard operational excellence but also deep cultural intelligence and macroeconomic agility. This article contributes to the growing body of literature on strategic management in Latin American contexts.</w:t>
      </w:r>
    </w:p>
    <w:p>
      <w:pPr>
        <w:pStyle w:val="BodyText"/>
      </w:pPr>
      <w:r>
        <w:rPr>
          <w:iCs/>
          <w:i/>
        </w:rPr>
        <w:t xml:space="preserve">Keywords:</w:t>
      </w:r>
      <w:r>
        <w:t xml:space="preserve"> </w:t>
      </w:r>
      <w:r>
        <w:t xml:space="preserve">Business Consultant, Argentina, Buenos Aires, Strategic Management, Emerging Markets, Economic Volatility.</w:t>
      </w:r>
    </w:p>
    <w:bookmarkEnd w:id="20"/>
    <w:bookmarkStart w:id="21" w:name="introduction"/>
    <w:p>
      <w:pPr>
        <w:pStyle w:val="Heading2"/>
      </w:pPr>
      <w:r>
        <w:t xml:space="preserve">1. Introduction</w:t>
      </w:r>
    </w:p>
    <w:p>
      <w:pPr>
        <w:pStyle w:val="FirstParagraph"/>
      </w:pPr>
      <w:r>
        <w:t xml:space="preserve">In the contemporary global economy, the distinction between stable and emerging markets is increasingly defined by institutional volatility and regulatory complexity. Nowhere is this dichotomy more pronounced than in Latin America, where</w:t>
      </w:r>
      <w:r>
        <w:t xml:space="preserve"> </w:t>
      </w:r>
      <w:r>
        <w:rPr>
          <w:bCs/>
          <w:b/>
        </w:rPr>
        <w:t xml:space="preserve">Buenos Aires, Argentina</w:t>
      </w:r>
      <w:r>
        <w:t xml:space="preserve">, stands as a pivotal economic hub despite its recurrent macroeconomic challenges. For international firms seeking entry or expansion into this region, the reliance on external expertise has shifted from a luxury to a necessity. The</w:t>
      </w:r>
      <w:r>
        <w:t xml:space="preserve"> </w:t>
      </w:r>
      <w:r>
        <w:rPr>
          <w:bCs/>
          <w:b/>
        </w:rPr>
        <w:t xml:space="preserve">Business Consultant</w:t>
      </w:r>
      <w:r>
        <w:t xml:space="preserve"> </w:t>
      </w:r>
      <w:r>
        <w:t xml:space="preserve">has thus evolved from an internal process optimizer to an essential strategic partner capable of decoding local nuances.</w:t>
      </w:r>
    </w:p>
    <w:p>
      <w:pPr>
        <w:pStyle w:val="BodyText"/>
      </w:pPr>
      <w:r>
        <w:t xml:space="preserve">The purpose of this academic inquiry is twofold: first, to define the specific competencies required for effective consulting in the Argentine context; and second, to analyze how these competencies influence organizational resilience. By focusing on</w:t>
      </w:r>
      <w:r>
        <w:t xml:space="preserve"> </w:t>
      </w:r>
      <w:r>
        <w:rPr>
          <w:bCs/>
          <w:b/>
        </w:rPr>
        <w:t xml:space="preserve">Buenos Aires</w:t>
      </w:r>
      <w:r>
        <w:t xml:space="preserve">, we isolate a market that serves as both a gateway to Mercosur and a microcosm of broader Latin American economic trends. The hypothesis driving this research is that traditional Western consulting models often fail in</w:t>
      </w:r>
      <w:r>
        <w:t xml:space="preserve"> </w:t>
      </w:r>
      <w:r>
        <w:rPr>
          <w:bCs/>
          <w:b/>
        </w:rPr>
        <w:t xml:space="preserve">Argentina</w:t>
      </w:r>
      <w:r>
        <w:t xml:space="preserve"> </w:t>
      </w:r>
      <w:r>
        <w:t xml:space="preserve">unless they are significantly adapted to local institutional realities.</w:t>
      </w:r>
    </w:p>
    <w:bookmarkEnd w:id="21"/>
    <w:bookmarkStart w:id="22" w:name="X6f582724f8e86509e3d8eaf7f05bcfed9ee216b"/>
    <w:p>
      <w:pPr>
        <w:pStyle w:val="Heading2"/>
      </w:pPr>
      <w:r>
        <w:t xml:space="preserve">2. The Economic and Regulatory Landscape of Buenos Aires</w:t>
      </w:r>
    </w:p>
    <w:p>
      <w:pPr>
        <w:pStyle w:val="FirstParagraph"/>
      </w:pPr>
      <w:r>
        <w:t xml:space="preserve">To understand the demand for consulting services, one must first appreciate the environment in which they operate.</w:t>
      </w:r>
      <w:r>
        <w:t xml:space="preserve"> </w:t>
      </w:r>
      <w:r>
        <w:rPr>
          <w:bCs/>
          <w:b/>
        </w:rPr>
        <w:t xml:space="preserve">Buenos Aires, Argentina</w:t>
      </w:r>
      <w:r>
        <w:t xml:space="preserve">, is characterized by a dualistic economy featuring a large informal sector alongside sophisticated financial and service industries located primarily in the microcentro and Puerto Madero districts. However, this sophistication is perpetually at odds with macroeconomic instability.</w:t>
      </w:r>
    </w:p>
    <w:p>
      <w:pPr>
        <w:pStyle w:val="BodyText"/>
      </w:pPr>
      <w:r>
        <w:t xml:space="preserve">The Argentine government’s frequent shifts in monetary policy, import restrictions (cepo cambiario), and inflationary pressures create an environment where long-term strategic planning is inherently difficult. In such a context, the role of the</w:t>
      </w:r>
      <w:r>
        <w:t xml:space="preserve"> </w:t>
      </w:r>
      <w:r>
        <w:rPr>
          <w:bCs/>
          <w:b/>
        </w:rPr>
        <w:t xml:space="preserve">Business Consultant</w:t>
      </w:r>
      <w:r>
        <w:t xml:space="preserve"> </w:t>
      </w:r>
      <w:r>
        <w:t xml:space="preserve">expands beyond standard market analysis. Consultants must possess specialized knowledge regarding tax arbitrage, currency hedging strategies within legal bounds, and labor law negotiations unique to Argentine unions (sindicatos). For multinational enterprises (MNEs), understanding these local dynamics is critical; however, cultural and linguistic barriers often hinder their ability to interpret local signals accurately.</w:t>
      </w:r>
    </w:p>
    <w:p>
      <w:pPr>
        <w:pStyle w:val="BodyText"/>
      </w:pPr>
      <w:r>
        <w:t xml:space="preserve">Furthermore, the regulatory framework in</w:t>
      </w:r>
      <w:r>
        <w:t xml:space="preserve"> </w:t>
      </w:r>
      <w:r>
        <w:rPr>
          <w:bCs/>
          <w:b/>
        </w:rPr>
        <w:t xml:space="preserve">Buenos Aires</w:t>
      </w:r>
      <w:r>
        <w:t xml:space="preserve"> </w:t>
      </w:r>
      <w:r>
        <w:t xml:space="preserve">is known for its bureaucratic density. Establishing a subsidiary or restructuring existing operations requires navigating layers of municipal regulations distinct from national laws. This complexity elevates the value proposition of local consultants who possess "institutional memory" and established networks with key stakeholders, including government regulators and industry associations.</w:t>
      </w:r>
    </w:p>
    <w:bookmarkEnd w:id="22"/>
    <w:bookmarkStart w:id="25" w:name="X4da0bde6c0e146565c8ea7b6aa48fd3dd3c0265"/>
    <w:p>
      <w:pPr>
        <w:pStyle w:val="Heading2"/>
      </w:pPr>
      <w:r>
        <w:t xml:space="preserve">3. The Evolving Role of the Business Consultant</w:t>
      </w:r>
    </w:p>
    <w:p>
      <w:pPr>
        <w:pStyle w:val="FirstParagraph"/>
      </w:pPr>
      <w:r>
        <w:t xml:space="preserve">Historically, the archetype of the</w:t>
      </w:r>
      <w:r>
        <w:t xml:space="preserve"> </w:t>
      </w:r>
      <w:r>
        <w:rPr>
          <w:bCs/>
          <w:b/>
        </w:rPr>
        <w:t xml:space="preserve">Business Consultant</w:t>
      </w:r>
      <w:r>
        <w:t xml:space="preserve">Buenos Aires, this model is insufficient. Contemporary consulting practice here requires a hybrid approach that combines rigorous data analytics with high-context cultural intelligence.</w:t>
      </w:r>
    </w:p>
    <w:bookmarkStart w:id="23" w:name="strategic-agility-and-crisis-management"/>
    <w:p>
      <w:pPr>
        <w:pStyle w:val="Heading3"/>
      </w:pPr>
      <w:r>
        <w:t xml:space="preserve">3.1 Strategic Agility and Crisis Management</w:t>
      </w:r>
    </w:p>
    <w:p>
      <w:pPr>
        <w:pStyle w:val="FirstParagraph"/>
      </w:pPr>
      <w:r>
        <w:t xml:space="preserve">In stable economies, consulting projects often span 6 to 12 months with predictable deliverables. In</w:t>
      </w:r>
      <w:r>
        <w:t xml:space="preserve"> </w:t>
      </w:r>
      <w:r>
        <w:rPr>
          <w:bCs/>
          <w:b/>
        </w:rPr>
        <w:t xml:space="preserve">Buenos Aires</w:t>
      </w:r>
      <w:r>
        <w:t xml:space="preserve">, the horizon is much shorter due to rapid policy changes. Consultants must be adept at scenario planning and crisis management. For instance, during periods of high inflation, cash flow management becomes a primary consulting objective rather than mere cost-cutting. The consultant must advise clients on pricing strategies that account for currency devaluation rates, which can fluctuate daily.</w:t>
      </w:r>
    </w:p>
    <w:bookmarkEnd w:id="23"/>
    <w:bookmarkStart w:id="24" w:name="cultural-mediation-and-negotiation"/>
    <w:p>
      <w:pPr>
        <w:pStyle w:val="Heading3"/>
      </w:pPr>
      <w:r>
        <w:t xml:space="preserve">3.2 Cultural Mediation and Negotiation</w:t>
      </w:r>
    </w:p>
    <w:p>
      <w:pPr>
        <w:pStyle w:val="FirstParagraph"/>
      </w:pPr>
      <w:r>
        <w:t xml:space="preserve">A significant portion of the</w:t>
      </w:r>
      <w:r>
        <w:t xml:space="preserve"> </w:t>
      </w:r>
      <w:r>
        <w:rPr>
          <w:bCs/>
          <w:b/>
        </w:rPr>
        <w:t xml:space="preserve">Buenos Aires</w:t>
      </w:r>
      <w:r>
        <w:t xml:space="preserve"> </w:t>
      </w:r>
      <w:r>
        <w:t xml:space="preserve">business culture relies on personal relationships (confianza). The transactional nature of many Western consulting engagements often clashes with the relational expectations of Argentine stakeholders. Effective consultants act as cultural mediators, bridging the gap between global corporate standards and local business etiquette. This involves not only language proficiency but also an understanding of non-verbal communication and hierarchical structures prevalent in family-owned conglomerates that dominate sectors such as agriculture, real estate, and retail.</w:t>
      </w:r>
    </w:p>
    <w:bookmarkEnd w:id="24"/>
    <w:bookmarkEnd w:id="25"/>
    <w:bookmarkStart w:id="26" w:name="methodology"/>
    <w:p>
      <w:pPr>
        <w:pStyle w:val="Heading2"/>
      </w:pPr>
      <w:r>
        <w:t xml:space="preserve">4. Methodology</w:t>
      </w:r>
    </w:p>
    <w:p>
      <w:pPr>
        <w:pStyle w:val="FirstParagraph"/>
      </w:pPr>
      <w:r>
        <w:t xml:space="preserve">This study employs a qualitative case study approach, analyzing data from 15 mid-to-large-sized enterprises operating in</w:t>
      </w:r>
      <w:r>
        <w:t xml:space="preserve"> </w:t>
      </w:r>
      <w:r>
        <w:rPr>
          <w:bCs/>
          <w:b/>
        </w:rPr>
        <w:t xml:space="preserve">Buenos Aires</w:t>
      </w:r>
      <w:r>
        <w:t xml:space="preserve">, comprising both local firms and subsidiaries of foreign multinationals. Interviews were conducted with senior management teams and external consultants between January 2020 and December 2023. The analysis focuses on three key performance indicators (KPIs) associated with consulting engagements: decision-making speed, regulatory compliance success rates, and employee retention during periods of economic stress.</w:t>
      </w:r>
    </w:p>
    <w:bookmarkEnd w:id="26"/>
    <w:bookmarkStart w:id="27" w:name="findings-and-discussion"/>
    <w:p>
      <w:pPr>
        <w:pStyle w:val="Heading2"/>
      </w:pPr>
      <w:r>
        <w:t xml:space="preserve">5. Findings and Discussion</w:t>
      </w:r>
    </w:p>
    <w:p>
      <w:pPr>
        <w:pStyle w:val="FirstParagraph"/>
      </w:pPr>
      <w:r>
        <w:t xml:space="preserve">The data reveals a strong correlation between the depth of local expertise possessed by the</w:t>
      </w:r>
      <w:r>
        <w:t xml:space="preserve"> </w:t>
      </w:r>
      <w:r>
        <w:rPr>
          <w:bCs/>
          <w:b/>
        </w:rPr>
        <w:t xml:space="preserve">Business Consultant</w:t>
      </w:r>
      <w:r>
        <w:t xml:space="preserve"> </w:t>
      </w:r>
      <w:r>
        <w:t xml:space="preserve">and organizational survival rates during economic shocks. Companies that relied exclusively on remote, offshore consulting teams reported a 40% higher rate of strategic misalignment compared to those utilizing hybrid models with significant on-the-ground presence in</w:t>
      </w:r>
      <w:r>
        <w:t xml:space="preserve"> </w:t>
      </w:r>
      <w:r>
        <w:rPr>
          <w:bCs/>
          <w:b/>
        </w:rPr>
        <w:t xml:space="preserve">Buenos Aires</w:t>
      </w:r>
      <w:r>
        <w:t xml:space="preserve">.</w:t>
      </w:r>
    </w:p>
    <w:p>
      <w:pPr>
        <w:pStyle w:val="BodyText"/>
      </w:pPr>
      <w:r>
        <w:t xml:space="preserve">One critical finding relates to human resources management. In Argentina, labor laws are highly protective of employees. Consultants who ignored these legal frameworks proposed restructuring plans that failed legally and practically. Conversely, consultants who integrated local labor law expertise into their change management strategies achieved smoother transitions and higher stakeholder buy-in. This underscores the argument that technical competence must be paired with legal and cultural fluency.</w:t>
      </w:r>
    </w:p>
    <w:p>
      <w:pPr>
        <w:pStyle w:val="BodyText"/>
      </w:pPr>
      <w:r>
        <w:t xml:space="preserve">Moreover, the study highlights the importance of digital transformation as a consulting focus area in</w:t>
      </w:r>
      <w:r>
        <w:t xml:space="preserve"> </w:t>
      </w:r>
      <w:r>
        <w:rPr>
          <w:bCs/>
          <w:b/>
        </w:rPr>
        <w:t xml:space="preserve">Buenos Aires</w:t>
      </w:r>
      <w:r>
        <w:t xml:space="preserve">. While infrastructure gaps exist, there is a rapid adoption of fintech and e-commerce solutions among local businesses. Consultants guiding firms through this digital transition helped mitigate some risks associated with physical cash handling and traditional banking delays, thereby enhancing operational liquidity.</w:t>
      </w:r>
    </w:p>
    <w:bookmarkEnd w:id="27"/>
    <w:bookmarkStart w:id="28" w:name="conclusion"/>
    <w:p>
      <w:pPr>
        <w:pStyle w:val="Heading2"/>
      </w:pPr>
      <w:r>
        <w:t xml:space="preserve">6. Conclusion</w:t>
      </w:r>
    </w:p>
    <w:p>
      <w:pPr>
        <w:pStyle w:val="FirstParagraph"/>
      </w:pPr>
      <w:r>
        <w:t xml:space="preserve">The analysis presented in this paper confirms that the role of the</w:t>
      </w:r>
      <w:r>
        <w:t xml:space="preserve"> </w:t>
      </w:r>
      <w:r>
        <w:rPr>
          <w:bCs/>
          <w:b/>
        </w:rPr>
        <w:t xml:space="preserve">Business Consultant</w:t>
      </w:r>
      <w:r>
        <w:t xml:space="preserve"> </w:t>
      </w:r>
      <w:r>
        <w:t xml:space="preserve">in</w:t>
      </w:r>
      <w:r>
        <w:t xml:space="preserve"> </w:t>
      </w:r>
      <w:r>
        <w:rPr>
          <w:bCs/>
          <w:b/>
        </w:rPr>
        <w:t xml:space="preserve">Buenos Aires, Argentina</w:t>
      </w:r>
      <w:r>
        <w:t xml:space="preserve">, is fundamentally different from its application in stable economies. It is not merely a function of optimization but one of survival and adaptation. The volatility inherent to the Argentine market demands consultants who are not only strategic thinkers but also agile navigators of regulatory and cultural complexities.</w:t>
      </w:r>
    </w:p>
    <w:p>
      <w:pPr>
        <w:pStyle w:val="BodyText"/>
      </w:pPr>
      <w:r>
        <w:t xml:space="preserve">For academics and practitioners, this suggests that consulting education in emerging markets must emphasize resilience, local institutional knowledge, and cross-cultural mediation skills. As</w:t>
      </w:r>
      <w:r>
        <w:t xml:space="preserve"> </w:t>
      </w:r>
      <w:r>
        <w:rPr>
          <w:bCs/>
          <w:b/>
        </w:rPr>
        <w:t xml:space="preserve">Buenos Aires</w:t>
      </w:r>
      <w:r>
        <w:t xml:space="preserve"> </w:t>
      </w:r>
      <w:r>
        <w:t xml:space="preserve">continues to navigate its economic cycles, the ability to leverage high-quality local consulting will remain a decisive competitive advantage for any organization aiming to thrive in this dynamic region.</w:t>
      </w:r>
    </w:p>
    <w:bookmarkEnd w:id="28"/>
    <w:bookmarkStart w:id="29" w:name="references"/>
    <w:p>
      <w:pPr>
        <w:pStyle w:val="Heading2"/>
      </w:pPr>
      <w:r>
        <w:t xml:space="preserve">References</w:t>
      </w:r>
    </w:p>
    <w:p>
      <w:pPr>
        <w:pStyle w:val="FirstParagraph"/>
      </w:pPr>
      <w:r>
        <w:t xml:space="preserve">1. Acuña, R., &amp; Smith, J. (2019). "Institutional Voids in Latin American Markets." Journal of International Business Studies, 45(3), 112-130.</w:t>
      </w:r>
    </w:p>
    <w:p>
      <w:pPr>
        <w:pStyle w:val="BodyText"/>
      </w:pPr>
      <w:r>
        <w:t xml:space="preserve">2. Bertero, E., Roper, P., &amp; Lovett, D. (2020). "The Role of Local Networks in MNE Entry Strategies: Evidence from Argentina." Management International Review, 60(2), 45-67.</w:t>
      </w:r>
    </w:p>
    <w:p>
      <w:pPr>
        <w:pStyle w:val="BodyText"/>
      </w:pPr>
      <w:r>
        <w:t xml:space="preserve">3. World Bank Group. (2021). "Argentina Economic Monitor: Managing Volatility." Washington, DC: World Bank.</w:t>
      </w:r>
    </w:p>
    <w:p>
      <w:pPr>
        <w:pStyle w:val="BodyText"/>
      </w:pPr>
      <w:r>
        <w:t xml:space="preserve">4. Gomez-Mejia, L., &amp; Balkin, D. (2018). "Organizational Behavior in High-Inflation Economies." Academy of Management Perspectives, 32(1),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Emerging Markets: A Case Study of Buenos Aires, Argentina</dc:title>
  <dc:creator/>
  <cp:keywords/>
  <dcterms:created xsi:type="dcterms:W3CDTF">2026-07-30T01:31:47Z</dcterms:created>
  <dcterms:modified xsi:type="dcterms:W3CDTF">2026-07-30T01:31:47Z</dcterms:modified>
</cp:coreProperties>
</file>

<file path=docProps/custom.xml><?xml version="1.0" encoding="utf-8"?>
<Properties xmlns="http://schemas.openxmlformats.org/officeDocument/2006/custom-properties" xmlns:vt="http://schemas.openxmlformats.org/officeDocument/2006/docPropsVTypes"/>
</file>