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Brazil's</w:t>
      </w:r>
      <w:r>
        <w:t xml:space="preserve"> </w:t>
      </w:r>
      <w:r>
        <w:t xml:space="preserve">Federal</w:t>
      </w:r>
      <w:r>
        <w:t xml:space="preserve"> </w:t>
      </w:r>
      <w:r>
        <w:t xml:space="preserve">Capital:</w:t>
      </w:r>
      <w:r>
        <w:t xml:space="preserve"> </w:t>
      </w:r>
      <w:r>
        <w:t xml:space="preserve">Strategies</w:t>
      </w:r>
      <w:r>
        <w:t xml:space="preserve"> </w:t>
      </w:r>
      <w:r>
        <w:t xml:space="preserve">for</w:t>
      </w:r>
      <w:r>
        <w:t xml:space="preserve"> </w:t>
      </w:r>
      <w:r>
        <w:t xml:space="preserve">Growth</w:t>
      </w:r>
      <w:r>
        <w:t xml:space="preserve"> </w:t>
      </w:r>
      <w:r>
        <w:t xml:space="preserve">in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Business Consultant in Brazil's Federal Capital: Strategies for Growth in Brasília</dc:title>
  <dc:creator/>
  <dc:language>en</dc:language>
  <cp:keywords/>
  <dcterms:created xsi:type="dcterms:W3CDTF">2026-09-28T04:00:25Z</dcterms:created>
  <dcterms:modified xsi:type="dcterms:W3CDTF">2026-09-28T04:00:25Z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