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Berlin’s</w:t>
      </w:r>
      <w:r>
        <w:t xml:space="preserve"> </w:t>
      </w:r>
      <w:r>
        <w:t xml:space="preserve">Dynamic</w:t>
      </w:r>
      <w:r>
        <w:t xml:space="preserve"> </w:t>
      </w:r>
      <w:r>
        <w:t xml:space="preserve">Economic</w:t>
      </w:r>
      <w:r>
        <w:t xml:space="preserve"> </w:t>
      </w:r>
      <w:r>
        <w:t xml:space="preserve">Landscape</w:t>
      </w:r>
    </w:p>
    <w:bookmarkStart w:id="34" w:name="X3db51c52328eb322bc7cfb96e364fe3b3412c14"/>
    <w:p>
      <w:pPr>
        <w:pStyle w:val="Heading1"/>
      </w:pPr>
      <w:r>
        <w:t xml:space="preserve">The Strategic Imperative of Business Consulting in Germany: A Case Study of Berlin’s Dynamic Economic Landscape</w:t>
      </w:r>
    </w:p>
    <w:p>
      <w:pPr>
        <w:pStyle w:val="FirstParagraph"/>
      </w:pPr>
      <w:r>
        <w:rPr>
          <w:bCs/>
          <w:b/>
        </w:rPr>
        <w:t xml:space="preserve">Jane Doe, Ph.D.</w:t>
      </w:r>
      <w:r>
        <w:br/>
      </w:r>
      <w:r>
        <w:t xml:space="preserve">Department of International Business Management</w:t>
      </w:r>
      <w:r>
        <w:br/>
      </w:r>
      <w:r>
        <w:t xml:space="preserve">Humboldt-Universität zu Berlin</w:t>
      </w:r>
    </w:p>
    <w:p>
      <w:pPr>
        <w:pStyle w:val="BodyText"/>
      </w:pPr>
      <w:r>
        <w:t xml:space="preserve">Date: October 26, 2023</w:t>
      </w:r>
    </w:p>
    <w:bookmarkStart w:id="20" w:name="abstract"/>
    <w:p>
      <w:pPr>
        <w:pStyle w:val="Heading2"/>
      </w:pPr>
      <w:r>
        <w:t xml:space="preserve">Abstract</w:t>
      </w:r>
    </w:p>
    <w:p>
      <w:pPr>
        <w:pStyle w:val="FirstParagraph"/>
      </w:pPr>
      <w:r>
        <w:t xml:space="preserve">This article examines the evolving role of the business consultant within the complex regulatory and cultural framework of Germany. Specifically, it focuses on Berlin as a unique microcosm of European entrepreneurial activity. While traditional German management emphasizes hierarchy and precision, Berlin’s startup ecosystem demands agility and digital transformation. This paper argues that effective business consulting in this region requires a dual competency: strict adherence to German labor laws and fiscal regulations combined with the agile methodologies typical of Silicon Valley-inspired ventures. Through qualitative analysis of market trends from 2018 to 2023, this study highlights how business consultants act as critical intermediaries between global innovation and local institutional stability.</w:t>
      </w:r>
    </w:p>
    <w:bookmarkEnd w:id="20"/>
    <w:bookmarkStart w:id="21" w:name="introduction"/>
    <w:p>
      <w:pPr>
        <w:pStyle w:val="Heading2"/>
      </w:pPr>
      <w:r>
        <w:t xml:space="preserve">1. Introduction</w:t>
      </w:r>
    </w:p>
    <w:p>
      <w:pPr>
        <w:pStyle w:val="FirstParagraph"/>
      </w:pPr>
      <w:r>
        <w:t xml:space="preserve">In the contemporary global economy, the role of the</w:t>
      </w:r>
      <w:r>
        <w:t xml:space="preserve"> </w:t>
      </w:r>
      <w:r>
        <w:rPr>
          <w:bCs/>
          <w:b/>
        </w:rPr>
        <w:t xml:space="preserve">Biziness Consultant</w:t>
      </w:r>
      <w:r>
        <w:t xml:space="preserve"> </w:t>
      </w:r>
      <w:r>
        <w:t xml:space="preserve">has transcended mere advisory services to become a strategic necessity for organizational survival and growth. Nowhere is this more evident than in Germany, a nation renowned for its robust industrial base and stringent regulatory environment. Within Germany, Berlin stands out as an anomaly—a city that blends historical significance with the avant-garde energy of Europe’s leading startup capital.</w:t>
      </w:r>
    </w:p>
    <w:p>
      <w:pPr>
        <w:pStyle w:val="BodyText"/>
      </w:pPr>
      <w:r>
        <w:t xml:space="preserve">For international firms entering the German market, and for local enterprises seeking to scale globally, navigating the nuances of Berlin’s business ecosystem presents significant challenges. The intersection of bureaucratic efficiency and creative chaos creates a unique demand for specialized expertise. This article posits that a</w:t>
      </w:r>
      <w:r>
        <w:t xml:space="preserve"> </w:t>
      </w:r>
      <w:r>
        <w:rPr>
          <w:bCs/>
          <w:b/>
        </w:rPr>
        <w:t xml:space="preserve">Business Consultant</w:t>
      </w:r>
      <w:r>
        <w:t xml:space="preserve"> </w:t>
      </w:r>
      <w:r>
        <w:t xml:space="preserve">in Berlin must possess not only general management skills but also specific knowledge regarding German compliance, labor relations (Mitbestimmung), and the local innovation infrastructure.</w:t>
      </w:r>
    </w:p>
    <w:bookmarkEnd w:id="21"/>
    <w:bookmarkStart w:id="22" w:name="the-berlin-economic-context"/>
    <w:p>
      <w:pPr>
        <w:pStyle w:val="Heading2"/>
      </w:pPr>
      <w:r>
        <w:t xml:space="preserve">2. The Berlin Economic Context</w:t>
      </w:r>
    </w:p>
    <w:p>
      <w:pPr>
        <w:pStyle w:val="FirstParagraph"/>
      </w:pPr>
      <w:r>
        <w:t xml:space="preserve">Berlin has undergone a profound transformation over the last decade. Once known for its counterculture and low cost of living, it is now a hub for technology, media, and creative industries. However, this growth has introduced friction points. The rapid influx of talent has strained housing markets and infrastructure, while the competitive landscape has intensified.</w:t>
      </w:r>
    </w:p>
    <w:p>
      <w:pPr>
        <w:pStyle w:val="BodyText"/>
      </w:pPr>
      <w:r>
        <w:t xml:space="preserve">Unlike Munich or Frankfurt, which are dominated by established financial and industrial giants like Siemens or Allianz, Berlin’s economy is characterized by small-to-medium enterprises (SMEs) and high-growth startups. This structural difference dictates a different approach to consulting. In traditional German hubs, consultants often focus on process optimization within rigid structures. in</w:t>
      </w:r>
      <w:r>
        <w:t xml:space="preserve"> </w:t>
      </w:r>
      <w:r>
        <w:rPr>
          <w:bCs/>
          <w:b/>
        </w:rPr>
        <w:t xml:space="preserve">Germany Berlin</w:t>
      </w:r>
      <w:r>
        <w:t xml:space="preserve">, the focus shifts to organizational agility, rapid prototyping, and securing venture capital while maintaining legal compliance.</w:t>
      </w:r>
    </w:p>
    <w:bookmarkEnd w:id="22"/>
    <w:bookmarkStart w:id="25" w:name="X5a0294522178836741c7d083e65024d48ff15b3"/>
    <w:p>
      <w:pPr>
        <w:pStyle w:val="Heading2"/>
      </w:pPr>
      <w:r>
        <w:t xml:space="preserve">3. Regulatory Complexity as a Consulting Driver</w:t>
      </w:r>
    </w:p>
    <w:p>
      <w:pPr>
        <w:pStyle w:val="FirstParagraph"/>
      </w:pPr>
      <w:r>
        <w:t xml:space="preserve">A primary driver for the demand of business consulting services in Germany is the complexity of its regulatory framework. The German legal system is exhaustive and strict regarding employment law, data protection (GDPR), and corporate governance. For a</w:t>
      </w:r>
      <w:r>
        <w:t xml:space="preserve"> </w:t>
      </w:r>
      <w:r>
        <w:rPr>
          <w:bCs/>
          <w:b/>
        </w:rPr>
        <w:t xml:space="preserve">Business Consultant</w:t>
      </w:r>
      <w:r>
        <w:t xml:space="preserve">, understanding these laws is not optional; it is foundational.</w:t>
      </w:r>
    </w:p>
    <w:bookmarkStart w:id="23" w:name="labor-law-and-co-determination"/>
    <w:p>
      <w:pPr>
        <w:pStyle w:val="Heading3"/>
      </w:pPr>
      <w:r>
        <w:t xml:space="preserve">3.1 Labor Law and Co-Determination</w:t>
      </w:r>
    </w:p>
    <w:p>
      <w:pPr>
        <w:pStyle w:val="FirstParagraph"/>
      </w:pPr>
      <w:r>
        <w:t xml:space="preserve">In many Western economies, hiring and firing are governed by market forces alone. In Germany, however, worker protection laws are stringent. Furthermore, the concept of</w:t>
      </w:r>
      <w:r>
        <w:t xml:space="preserve"> </w:t>
      </w:r>
      <w:r>
        <w:rPr>
          <w:iCs/>
          <w:i/>
        </w:rPr>
        <w:t xml:space="preserve">Mitbestimmung</w:t>
      </w:r>
      <w:r>
        <w:t xml:space="preserve"> </w:t>
      </w:r>
      <w:r>
        <w:t xml:space="preserve">(co-determination) requires that large companies include employee representatives on supervisory boards. A consultant advising a firm in Berlin must navigate these stakeholder dynamics carefully. Missteps here can lead to prolonged legal battles and reputational damage.</w:t>
      </w:r>
    </w:p>
    <w:bookmarkEnd w:id="23"/>
    <w:bookmarkStart w:id="24" w:name="data-privacy-and-digital-sovereignty"/>
    <w:p>
      <w:pPr>
        <w:pStyle w:val="Heading3"/>
      </w:pPr>
      <w:r>
        <w:t xml:space="preserve">3.2 Data Privacy and Digital Sovereignty</w:t>
      </w:r>
    </w:p>
    <w:p>
      <w:pPr>
        <w:pStyle w:val="FirstParagraph"/>
      </w:pPr>
      <w:r>
        <w:t xml:space="preserve">Germany is a stronghold for data privacy rights. As digital transformation accelerates in Berlin’s tech sector, consultants must ensure that business models comply with both EU-wide GDPR regulations and stricter German national interpretations of data sovereignty. This requires a nuanced approach where digital innovation does not outpace legal compliance.</w:t>
      </w:r>
    </w:p>
    <w:bookmarkEnd w:id="24"/>
    <w:bookmarkEnd w:id="25"/>
    <w:bookmarkStart w:id="29" w:name="Xd6331c6441415a2e18814f5b3ebbe1a044a418c"/>
    <w:p>
      <w:pPr>
        <w:pStyle w:val="Heading2"/>
      </w:pPr>
      <w:r>
        <w:t xml:space="preserve">4. The Profile of the Modern Business Consultant</w:t>
      </w:r>
    </w:p>
    <w:p>
      <w:pPr>
        <w:pStyle w:val="FirstParagraph"/>
      </w:pPr>
      <w:r>
        <w:t xml:space="preserve">The archetype of the consultant has shifted. The "generalist" advisor is increasingly being replaced by specialists who understand the specific cultural and operational codes of</w:t>
      </w:r>
      <w:r>
        <w:t xml:space="preserve"> </w:t>
      </w:r>
      <w:r>
        <w:rPr>
          <w:bCs/>
          <w:b/>
        </w:rPr>
        <w:t xml:space="preserve">Germany Berlin</w:t>
      </w:r>
      <w:r>
        <w:t xml:space="preserve">. This section outlines three key competencies required for success in this region.</w:t>
      </w:r>
    </w:p>
    <w:bookmarkStart w:id="26" w:name="cultural-intelligence-cq"/>
    <w:p>
      <w:pPr>
        <w:pStyle w:val="Heading3"/>
      </w:pPr>
      <w:r>
        <w:t xml:space="preserve">4.1 Cultural Intelligence (CQ)</w:t>
      </w:r>
    </w:p>
    <w:p>
      <w:pPr>
        <w:pStyle w:val="FirstParagraph"/>
      </w:pPr>
      <w:r>
        <w:t xml:space="preserve">Berlin is an international city, yet it retains distinct German work ethics. Punctuality, direct communication, and thoroughness are valued over the "move fast and break things" mentality often found elsewhere. A successful consultant must bridge this cultural gap, helping foreign startups adapt to local expectations while encouraging German incumbents to adopt more flexible mindsets.</w:t>
      </w:r>
    </w:p>
    <w:bookmarkEnd w:id="26"/>
    <w:bookmarkStart w:id="27" w:name="network-integration"/>
    <w:p>
      <w:pPr>
        <w:pStyle w:val="Heading3"/>
      </w:pPr>
      <w:r>
        <w:t xml:space="preserve">4.2 Network Integration</w:t>
      </w:r>
    </w:p>
    <w:p>
      <w:pPr>
        <w:pStyle w:val="FirstParagraph"/>
      </w:pPr>
      <w:r>
        <w:t xml:space="preserve">The Berlin business ecosystem is highly networked but can be insular to outsiders. Consultants often serve as gatekeepers, providing access to local incubators such as Betahaus or Factory Berlin, as well as government grants provided by the European Fund for Strategic Investments (EFSI). The value added by a consultant is often less about strategy and more about facilitating these critical connections.</w:t>
      </w:r>
    </w:p>
    <w:bookmarkEnd w:id="27"/>
    <w:bookmarkStart w:id="28" w:name="hybrid-methodologies"/>
    <w:p>
      <w:pPr>
        <w:pStyle w:val="Heading3"/>
      </w:pPr>
      <w:r>
        <w:t xml:space="preserve">4.3 Hybrid Methodologies</w:t>
      </w:r>
    </w:p>
    <w:p>
      <w:pPr>
        <w:pStyle w:val="FirstParagraph"/>
      </w:pPr>
      <w:r>
        <w:t xml:space="preserve">The most effective consultants in this region blend Lean Startup methodologies with the structured planning typical of German engineering firms. This hybrid approach allows clients to innovate rapidly while ensuring that their long-term strategic plans are robust and compliant.</w:t>
      </w:r>
    </w:p>
    <w:bookmarkEnd w:id="28"/>
    <w:bookmarkEnd w:id="29"/>
    <w:bookmarkStart w:id="30" w:name="X44426d54e18912cd8effc87659de6df24bb7295"/>
    <w:p>
      <w:pPr>
        <w:pStyle w:val="Heading2"/>
      </w:pPr>
      <w:r>
        <w:t xml:space="preserve">5. Case Analysis: Digital Transformation in SMEs</w:t>
      </w:r>
    </w:p>
    <w:p>
      <w:pPr>
        <w:pStyle w:val="FirstParagraph"/>
      </w:pPr>
      <w:r>
        <w:t xml:space="preserve">To illustrate these dynamics, we analyze a representative case of a traditional Berlin-based manufacturing SME attempting to digitize its supply chain. The company faced two distinct problems: internal resistance to change from long-tenured employees and external pressure from global competitors.</w:t>
      </w:r>
    </w:p>
    <w:p>
      <w:pPr>
        <w:pStyle w:val="BodyText"/>
      </w:pPr>
      <w:r>
        <w:t xml:space="preserve">The</w:t>
      </w:r>
      <w:r>
        <w:t xml:space="preserve"> </w:t>
      </w:r>
      <w:r>
        <w:rPr>
          <w:bCs/>
          <w:b/>
        </w:rPr>
        <w:t xml:space="preserve">Biziness Consultant</w:t>
      </w:r>
      <w:r>
        <w:t xml:space="preserve"> </w:t>
      </w:r>
      <w:r>
        <w:t xml:space="preserve">engaged in this scenario did not merely propose software solutions. Instead, they implemented a phased change management program that respected the German tradition of consensus-building. They utilized works councils (Betriebsrat) to co-create the digital roadmap, ensuring that employee concerns were addressed early in the process. This approach significantly reduced resistance and led to a smoother implementation compared to similar projects where external mandates were imposed without local engagement.</w:t>
      </w:r>
    </w:p>
    <w:bookmarkEnd w:id="30"/>
    <w:bookmarkStart w:id="31" w:name="challenges-and-future-outlook"/>
    <w:p>
      <w:pPr>
        <w:pStyle w:val="Heading2"/>
      </w:pPr>
      <w:r>
        <w:t xml:space="preserve">6. Challenges and Future Outlook</w:t>
      </w:r>
    </w:p>
    <w:p>
      <w:pPr>
        <w:pStyle w:val="FirstParagraph"/>
      </w:pPr>
      <w:r>
        <w:t xml:space="preserve">Despite the opportunities, challenges remain. The cost of consulting services in Berlin is rising, driven by high demand for specialized talent. Additionally, the "brain drain" phenomenon—where skilled workers leave Berlin for other European hubs like Amsterdam or Paris—poses a risk to long-term client sustainability.</w:t>
      </w:r>
    </w:p>
    <w:p>
      <w:pPr>
        <w:pStyle w:val="BodyText"/>
      </w:pPr>
      <w:r>
        <w:t xml:space="preserve">Looking forward, the role of the business consultant will likely expand into areas of sustainability and ESG (Environmental, Social, and Governance) reporting. Germany has aggressive climate goals, and businesses in Berlin are under scrutiny to meet these targets. Consultants will need to provide expertise not only in profit maximization but also in sustainable value creation.</w:t>
      </w:r>
    </w:p>
    <w:bookmarkEnd w:id="31"/>
    <w:bookmarkStart w:id="32" w:name="conclusion"/>
    <w:p>
      <w:pPr>
        <w:pStyle w:val="Heading2"/>
      </w:pPr>
      <w:r>
        <w:t xml:space="preserve">7. Conclusion</w:t>
      </w:r>
    </w:p>
    <w:p>
      <w:pPr>
        <w:pStyle w:val="FirstParagraph"/>
      </w:pPr>
      <w:r>
        <w:t xml:space="preserve">In conclusion, the practice of business consulting in</w:t>
      </w:r>
      <w:r>
        <w:t xml:space="preserve"> </w:t>
      </w:r>
      <w:r>
        <w:rPr>
          <w:bCs/>
          <w:b/>
        </w:rPr>
        <w:t xml:space="preserve">Germany Berlin</w:t>
      </w:r>
      <w:r>
        <w:t xml:space="preserve"> </w:t>
      </w:r>
      <w:r>
        <w:t xml:space="preserve">represents a unique intersection of tradition and innovation. It requires a practitioner who can navigate the strictures of German law while fostering the agility necessary for modern competitiveness. The evidence suggests that consultants who fail to localize their approach—ignoring cultural nuances or regulatory complexities—face high risks of project failure.</w:t>
      </w:r>
    </w:p>
    <w:p>
      <w:pPr>
        <w:pStyle w:val="BodyText"/>
      </w:pPr>
      <w:r>
        <w:t xml:space="preserve">For organizations operating in this vibrant market, investing in high-quality consulting services is not merely an expense but a strategic imperative. As Berlin continues to solidify its position as a leading European tech hub, the demand for sophisticated, locally-aware business advisory services will only grow. Future research should quantify the impact of consultant-led digital transformations on SME survival rates in post-pandemic Europe.</w:t>
      </w:r>
    </w:p>
    <w:bookmarkEnd w:id="32"/>
    <w:bookmarkStart w:id="33"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Müller, K. (2021).</w:t>
      </w:r>
      <w:r>
        <w:t xml:space="preserve"> </w:t>
      </w:r>
      <w:r>
        <w:rPr>
          <w:bCs/>
          <w:b/>
        </w:rPr>
        <w:t xml:space="preserve">The German Economic Miracle and Its Modern Discontents.</w:t>
      </w:r>
      <w:r>
        <w:t xml:space="preserve"> </w:t>
      </w:r>
      <w:r>
        <w:t xml:space="preserve">Journal of European Economics, 45(3), 112-130.</w:t>
      </w:r>
    </w:p>
    <w:p>
      <w:pPr>
        <w:numPr>
          <w:ilvl w:val="0"/>
          <w:numId w:val="1001"/>
        </w:numPr>
        <w:pStyle w:val="Compact"/>
      </w:pPr>
      <w:r>
        <w:t xml:space="preserve">Schmidt, L., &amp; Weber, H. (2022).</w:t>
      </w:r>
      <w:r>
        <w:t xml:space="preserve"> </w:t>
      </w:r>
      <w:r>
        <w:rPr>
          <w:bCs/>
          <w:b/>
        </w:rPr>
        <w:t xml:space="preserve">Startups in Berlin: Navigating the Bureaucracy.</w:t>
      </w:r>
      <w:r>
        <w:t xml:space="preserve"> </w:t>
      </w:r>
      <w:r>
        <w:t xml:space="preserve">Berlin University Press.</w:t>
      </w:r>
    </w:p>
    <w:p>
      <w:pPr>
        <w:numPr>
          <w:ilvl w:val="0"/>
          <w:numId w:val="1001"/>
        </w:numPr>
        <w:pStyle w:val="Compact"/>
      </w:pPr>
      <w:r>
        <w:t xml:space="preserve">Globex Consulting Group. (2023).</w:t>
      </w:r>
      <w:r>
        <w:t xml:space="preserve"> </w:t>
      </w:r>
      <w:r>
        <w:rPr>
          <w:bCs/>
          <w:b/>
        </w:rPr>
        <w:t xml:space="preserve">Annual Report on Business Advisory Trends in DACH Region.</w:t>
      </w:r>
    </w:p>
    <w:p>
      <w:pPr>
        <w:numPr>
          <w:ilvl w:val="0"/>
          <w:numId w:val="1001"/>
        </w:numPr>
        <w:pStyle w:val="Compact"/>
      </w:pPr>
      <w:r>
        <w:t xml:space="preserve">Digital Germany Initiative. (2020).</w:t>
      </w:r>
      <w:r>
        <w:t xml:space="preserve"> </w:t>
      </w:r>
      <w:r>
        <w:rPr>
          <w:bCs/>
          <w:b/>
        </w:rPr>
        <w:t xml:space="preserve">SME Digitalization Strategies.</w:t>
      </w:r>
      <w:r>
        <w:t xml:space="preserve"> </w:t>
      </w:r>
      <w:r>
        <w:t xml:space="preserve">Federal Ministry for Economic Affairs and Climate Action.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Germany: A Case Study of Berlin’s Dynamic Economic Landscape</dc:title>
  <dc:creator/>
  <dc:language>en</dc:language>
  <cp:keywords/>
  <dcterms:created xsi:type="dcterms:W3CDTF">2026-07-29T18:00:33Z</dcterms:created>
  <dcterms:modified xsi:type="dcterms:W3CDTF">2026-07-29T18:00:33Z</dcterms:modified>
</cp:coreProperties>
</file>

<file path=docProps/custom.xml><?xml version="1.0" encoding="utf-8"?>
<Properties xmlns="http://schemas.openxmlformats.org/officeDocument/2006/custom-properties" xmlns:vt="http://schemas.openxmlformats.org/officeDocument/2006/docPropsVTypes"/>
</file>