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the</w:t>
      </w:r>
      <w:r>
        <w:t xml:space="preserve"> </w:t>
      </w:r>
      <w:r>
        <w:t xml:space="preserve">Post-Oil</w:t>
      </w:r>
      <w:r>
        <w:t xml:space="preserve"> </w:t>
      </w:r>
      <w:r>
        <w:t xml:space="preserve">Economy: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Riyadh,</w:t>
      </w:r>
      <w:r>
        <w:t xml:space="preserve"> </w:t>
      </w:r>
      <w:r>
        <w:t xml:space="preserve">Saudi</w:t>
      </w:r>
      <w:r>
        <w:t xml:space="preserve"> </w:t>
      </w:r>
      <w:r>
        <w:t xml:space="preserve">Arabia</w:t>
      </w:r>
    </w:p>
    <w:bookmarkStart w:id="29" w:name="Xf378c7858237b9bb36a3792cb4dec461fd90169"/>
    <w:p>
      <w:pPr>
        <w:pStyle w:val="Heading1"/>
      </w:pPr>
      <w:r>
        <w:t xml:space="preserve">The Strategic Imperative of Business Consulting in the Post-Oil Economy</w:t>
      </w:r>
    </w:p>
    <w:bookmarkStart w:id="28" w:name="a-case-study-of-riyadh-saudi-arabia"/>
    <w:p>
      <w:pPr>
        <w:pStyle w:val="Heading3"/>
      </w:pPr>
      <w:r>
        <w:t xml:space="preserve">A Case Study of Riyadh, Saudi Arabia</w:t>
      </w:r>
    </w:p>
    <w:p>
      <w:pPr>
        <w:pStyle w:val="FirstParagraph"/>
      </w:pPr>
      <w:r>
        <w:rPr>
          <w:iCs/>
          <w:i/>
          <w:bCs/>
          <w:b/>
        </w:rPr>
        <w:t xml:space="preserve">Sarah Al-Fahad &amp; Dr. James Sterling</w:t>
      </w:r>
      <w:r>
        <w:br/>
      </w:r>
      <w:r>
        <w:rPr>
          <w:iCs/>
          <w:i/>
          <w:bCs/>
          <w:b/>
        </w:rPr>
        <w:t xml:space="preserve">Institute for Economic Transformation and Strategic Management</w:t>
      </w:r>
    </w:p>
    <w:p>
      <w:pPr>
        <w:pStyle w:val="BodyText"/>
      </w:pPr>
      <w:r>
        <w:rPr>
          <w:bCs/>
          <w:b/>
        </w:rPr>
        <w:t xml:space="preserve">Abstract:</w:t>
      </w:r>
    </w:p>
    <w:p>
      <w:pPr>
        <w:pStyle w:val="BodyText"/>
      </w:pPr>
      <w:r>
        <w:t xml:space="preserve">The Kingdom of Saudi Arabia is currently undergoing a profound economic transformation driven by Vision 2030, which aims to reduce the nation's dependence on oil and diversify its economy. Central to this transformation is the capital city, Riyadh, which has emerged as the primary hub for corporate headquarters and innovation in the Middle East. This article examines the critical role of</w:t>
      </w:r>
      <w:r>
        <w:t xml:space="preserve"> </w:t>
      </w:r>
      <w:r>
        <w:rPr>
          <w:bCs/>
          <w:b/>
        </w:rPr>
        <w:t xml:space="preserve">Business Consultant</w:t>
      </w:r>
      <w:r>
        <w:t xml:space="preserve"> </w:t>
      </w:r>
      <w:r>
        <w:t xml:space="preserve">services in facilitating this transition within</w:t>
      </w:r>
      <w:r>
        <w:t xml:space="preserve"> </w:t>
      </w:r>
      <w:r>
        <w:rPr>
          <w:bCs/>
          <w:b/>
        </w:rPr>
        <w:t xml:space="preserve">Saudi Arabia Riyadh</w:t>
      </w:r>
      <w:r>
        <w:t xml:space="preserve">. By analyzing current market trends, regulatory shifts, and cultural nuances, we argue that specialized consulting is no longer optional but essential for local enterprises seeking to compete globally. The study highlights key sectors such as technology integration, human capital development, and sustainable practices as areas where consultative expertise drives tangible value.</w:t>
      </w:r>
    </w:p>
    <w:bookmarkStart w:id="20" w:name="introduction"/>
    <w:p>
      <w:pPr>
        <w:pStyle w:val="Heading4"/>
      </w:pPr>
      <w:r>
        <w:t xml:space="preserve">1. Introduction</w:t>
      </w:r>
    </w:p>
    <w:p>
      <w:pPr>
        <w:pStyle w:val="FirstParagraph"/>
      </w:pPr>
      <w:r>
        <w:t xml:space="preserve">The economic landscape of the Kingdom of Saudi Arabia has historically been defined by its vast hydrocarbon reserves. However, the imperative for economic diversification has led to the formulation of Vision 2030, a strategic framework designed to achieve sustainability and stability in government revenue while ensuring sustainable development for future generations. Within this broad national strategy, Riyadh stands out as the epicenter of change. As</w:t>
      </w:r>
      <w:r>
        <w:t xml:space="preserve"> </w:t>
      </w:r>
      <w:r>
        <w:rPr>
          <w:bCs/>
          <w:b/>
        </w:rPr>
        <w:t xml:space="preserve">Saudi Arabia Riyadh</w:t>
      </w:r>
      <w:r>
        <w:t xml:space="preserve"> </w:t>
      </w:r>
      <w:r>
        <w:t xml:space="preserve">transitions from a traditional administrative center to a global business hub, the complexity of operating within its borders has increased exponentially.</w:t>
      </w:r>
    </w:p>
    <w:p>
      <w:pPr>
        <w:pStyle w:val="BodyText"/>
      </w:pPr>
      <w:r>
        <w:t xml:space="preserve">In this context, the demand for professional</w:t>
      </w:r>
      <w:r>
        <w:t xml:space="preserve"> </w:t>
      </w:r>
      <w:r>
        <w:rPr>
          <w:bCs/>
          <w:b/>
        </w:rPr>
        <w:t xml:space="preserve">Business Consultant</w:t>
      </w:r>
      <w:r>
        <w:t xml:space="preserve"> </w:t>
      </w:r>
      <w:r>
        <w:t xml:space="preserve">services has surged. Traditional management approaches are often insufficient in navigating the rapid regulatory changes and cultural shifts occurring in the region. This paper explores how external expertise provides critical leverage to organizations attempting to align their operational strategies with national objectives while maintaining competitive advantage in a globalized market.</w:t>
      </w:r>
    </w:p>
    <w:bookmarkEnd w:id="20"/>
    <w:bookmarkStart w:id="21" w:name="X16edcab29743a54b5ff172bc3a0c8401cbeef03"/>
    <w:p>
      <w:pPr>
        <w:pStyle w:val="Heading4"/>
      </w:pPr>
      <w:r>
        <w:t xml:space="preserve">2. The Changing Regulatory and Economic Landscape</w:t>
      </w:r>
    </w:p>
    <w:p>
      <w:pPr>
        <w:pStyle w:val="FirstParagraph"/>
      </w:pPr>
      <w:r>
        <w:t xml:space="preserve">To understand the value proposition of a</w:t>
      </w:r>
      <w:r>
        <w:t xml:space="preserve"> </w:t>
      </w:r>
      <w:r>
        <w:rPr>
          <w:bCs/>
          <w:b/>
        </w:rPr>
        <w:t xml:space="preserve">Business Consultant</w:t>
      </w:r>
      <w:r>
        <w:t xml:space="preserve">, one must first analyze the environment in which they operate. Riyadh is experiencing unprecedented growth, driven by mega-projects such as NEOM, Diriyah Gate, and the expansion of Riyadh Airport. However, this growth is accompanied by rigorous regulatory reforms aimed at fostering private sector participation and foreign direct investment (FDI).</w:t>
      </w:r>
    </w:p>
    <w:p>
      <w:pPr>
        <w:pStyle w:val="BodyText"/>
      </w:pPr>
      <w:r>
        <w:t xml:space="preserve">For local businesses and multinational corporations alike, the complexity of labor laws (such as the Saudization or Nitaqat program), tax regulations, and corporate governance standards presents a significant barrier to entry. A specialized</w:t>
      </w:r>
      <w:r>
        <w:t xml:space="preserve"> </w:t>
      </w:r>
      <w:r>
        <w:rPr>
          <w:bCs/>
          <w:b/>
        </w:rPr>
        <w:t xml:space="preserve">Business Consultant</w:t>
      </w:r>
      <w:r>
        <w:t xml:space="preserve"> </w:t>
      </w:r>
      <w:r>
        <w:t xml:space="preserve">plays a pivotal role in de-risking operations by ensuring compliance with these evolving frameworks. They provide not only legal interpretation but also strategic guidance on how to leverage incentives offered by the Saudi government, such as those provided through the General Authority for Investment (MISA).</w:t>
      </w:r>
    </w:p>
    <w:bookmarkEnd w:id="21"/>
    <w:bookmarkStart w:id="22" w:name="X7c032419188ec26fb331e64461a6f85f467c73f"/>
    <w:p>
      <w:pPr>
        <w:pStyle w:val="Heading4"/>
      </w:pPr>
      <w:r>
        <w:t xml:space="preserve">3. Strategic Alignment and Organizational Transformation</w:t>
      </w:r>
    </w:p>
    <w:p>
      <w:pPr>
        <w:pStyle w:val="FirstParagraph"/>
      </w:pPr>
      <w:r>
        <w:t xml:space="preserve">Vision 2030 demands a shift in organizational mindset from state-centric operations to market-driven efficiency. Many established entities in</w:t>
      </w:r>
      <w:r>
        <w:t xml:space="preserve"> </w:t>
      </w:r>
      <w:r>
        <w:rPr>
          <w:bCs/>
          <w:b/>
        </w:rPr>
        <w:t xml:space="preserve">Saudi Arabia Riyadh</w:t>
      </w:r>
      <w:r>
        <w:t xml:space="preserve">, particularly family-owned businesses, face challenges related to succession planning, digital transformation, and operational inefficiency. Herein lies the core utility of the</w:t>
      </w:r>
      <w:r>
        <w:t xml:space="preserve"> </w:t>
      </w:r>
      <w:r>
        <w:rPr>
          <w:bCs/>
          <w:b/>
        </w:rPr>
        <w:t xml:space="preserve">Business Consultant</w:t>
      </w:r>
      <w:r>
        <w:t xml:space="preserve">.</w:t>
      </w:r>
    </w:p>
    <w:p>
      <w:pPr>
        <w:pStyle w:val="BodyText"/>
      </w:pPr>
      <w:r>
        <w:t xml:space="preserve">Consultants facilitate organizational transformation by conducting rigorous gap analyses. They assess current performance metrics against international best practices and identify areas for improvement in supply chain management, customer experience, and technological adoption. For instance, in the retail and hospitality sectors booming in Riyadh's new commercial districts, consultants are instrumental in implementing Customer Relationship Management (CRM) systems that cater to a digitally savvy local population.</w:t>
      </w:r>
    </w:p>
    <w:bookmarkEnd w:id="22"/>
    <w:bookmarkStart w:id="23" w:name="Xfec6924fd230706812f6a34098a9f595f2d766a"/>
    <w:p>
      <w:pPr>
        <w:pStyle w:val="Heading4"/>
      </w:pPr>
      <w:r>
        <w:t xml:space="preserve">4. Human Capital Development and Cultural Nuances</w:t>
      </w:r>
    </w:p>
    <w:p>
      <w:pPr>
        <w:pStyle w:val="FirstParagraph"/>
      </w:pPr>
      <w:r>
        <w:t xml:space="preserve">The most significant asset of</w:t>
      </w:r>
      <w:r>
        <w:t xml:space="preserve"> </w:t>
      </w:r>
      <w:r>
        <w:rPr>
          <w:bCs/>
          <w:b/>
        </w:rPr>
        <w:t xml:space="preserve">Saudi Arabia Riyadh</w:t>
      </w:r>
      <w:r>
        <w:t xml:space="preserve">'s economy is its human capital. The demographic profile is young, ambitious, and increasingly educated. However, there remains a skills gap in specialized areas such as data analytics, renewable energy engineering, and advanced finance. A</w:t>
      </w:r>
      <w:r>
        <w:t xml:space="preserve"> </w:t>
      </w:r>
      <w:r>
        <w:rPr>
          <w:bCs/>
          <w:b/>
        </w:rPr>
        <w:t xml:space="preserve">Business Consultant</w:t>
      </w:r>
      <w:r>
        <w:t xml:space="preserve"> </w:t>
      </w:r>
      <w:r>
        <w:t xml:space="preserve">acts as a bridge between academic institutions and the corporate sector.</w:t>
      </w:r>
    </w:p>
    <w:p>
      <w:pPr>
        <w:pStyle w:val="BodyText"/>
      </w:pPr>
      <w:r>
        <w:t xml:space="preserve">Beyond skills training, consultants address cultural dynamics. The concept of "wasta" (connections) is gradually being replaced by meritocracy and transparency in corporate governance, driven by government mandates. Consultants help leaders navigate this shift, fostering inclusive workplace cultures that retain top Saudi talent while integrating diverse international perspectives required for global expansion.</w:t>
      </w:r>
    </w:p>
    <w:bookmarkEnd w:id="23"/>
    <w:bookmarkStart w:id="24" w:name="digital-transformation-and-innovation"/>
    <w:p>
      <w:pPr>
        <w:pStyle w:val="Heading4"/>
      </w:pPr>
      <w:r>
        <w:t xml:space="preserve">5. Digital Transformation and Innovation</w:t>
      </w:r>
    </w:p>
    <w:p>
      <w:pPr>
        <w:pStyle w:val="FirstParagraph"/>
      </w:pPr>
      <w:r>
        <w:t xml:space="preserve">Riyadh is positioning itself as a smart city and a regional tech hub. The adoption of Artificial Intelligence (AI), Blockchain, and Cloud Computing is accelerating across industries ranging from healthcare to logistics. For many firms in</w:t>
      </w:r>
      <w:r>
        <w:t xml:space="preserve"> </w:t>
      </w:r>
      <w:r>
        <w:rPr>
          <w:bCs/>
          <w:b/>
        </w:rPr>
        <w:t xml:space="preserve">Saudi Arabia Riyadh</w:t>
      </w:r>
      <w:r>
        <w:t xml:space="preserve">, the decision to digitize is not merely technological but strategic.</w:t>
      </w:r>
    </w:p>
    <w:p>
      <w:pPr>
        <w:pStyle w:val="BodyText"/>
      </w:pPr>
      <w:r>
        <w:rPr>
          <w:bCs/>
          <w:b/>
        </w:rPr>
        <w:t xml:space="preserve">Business Consultant</w:t>
      </w:r>
      <w:r>
        <w:t xml:space="preserve"> </w:t>
      </w:r>
      <w:r>
        <w:t xml:space="preserve">firms specializing in digital strategy assist organizations in selecting appropriate technologies that align with their long-term business goals. They help prevent "digital washing"—the superficial adoption of technology without underlying process re-engineering. By integrating data analytics into decision-making processes, companies can achieve greater agility, allowing them to respond swiftly to market fluctuations and consumer behaviors specific to the Saudi context.</w:t>
      </w:r>
    </w:p>
    <w:bookmarkEnd w:id="24"/>
    <w:bookmarkStart w:id="25" w:name="challenges-and-future-outlook"/>
    <w:p>
      <w:pPr>
        <w:pStyle w:val="Heading4"/>
      </w:pPr>
      <w:r>
        <w:t xml:space="preserve">6. Challenges and Future Outlook</w:t>
      </w:r>
    </w:p>
    <w:p>
      <w:pPr>
        <w:pStyle w:val="FirstParagraph"/>
      </w:pPr>
      <w:r>
        <w:t xml:space="preserve">Despite the growing demand for consulting services, challenges remain. There is a need for more locally rooted expertise that deeply understands the nuances of Gulf culture combined with global strategic frameworks. Furthermore, as Riyadh continues to attract international firms, competition among consultancies is intensifying.</w:t>
      </w:r>
    </w:p>
    <w:p>
      <w:pPr>
        <w:pStyle w:val="BodyText"/>
      </w:pPr>
      <w:r>
        <w:t xml:space="preserve">The future of</w:t>
      </w:r>
      <w:r>
        <w:t xml:space="preserve"> </w:t>
      </w:r>
      <w:r>
        <w:rPr>
          <w:bCs/>
          <w:b/>
        </w:rPr>
        <w:t xml:space="preserve">Business Consultant</w:t>
      </w:r>
      <w:r>
        <w:t xml:space="preserve"> </w:t>
      </w:r>
      <w:r>
        <w:t xml:space="preserve">engagement in</w:t>
      </w:r>
      <w:r>
        <w:t xml:space="preserve"> </w:t>
      </w:r>
      <w:r>
        <w:rPr>
          <w:bCs/>
          <w:b/>
        </w:rPr>
        <w:t xml:space="preserve">Saudi Arabia Riyadh</w:t>
      </w:r>
      <w:r>
        <w:t xml:space="preserve"> </w:t>
      </w:r>
      <w:r>
        <w:t xml:space="preserve">will likely see a shift towards sustainability consulting. As the Kingdom commits to net-zero carbon goals by 2060, businesses will require expert guidance on Environmental, Social, and Governance (ESG) criteria. Consultants who can help firms monetize sustainability initiatives while reducing their environmental footprint will find themselves at the forefront of this new economic reality.</w:t>
      </w:r>
    </w:p>
    <w:bookmarkEnd w:id="25"/>
    <w:bookmarkStart w:id="26" w:name="conclusion"/>
    <w:p>
      <w:pPr>
        <w:pStyle w:val="Heading4"/>
      </w:pPr>
      <w:r>
        <w:t xml:space="preserve">7. Conclusion</w:t>
      </w:r>
    </w:p>
    <w:p>
      <w:pPr>
        <w:pStyle w:val="FirstParagraph"/>
      </w:pPr>
      <w:r>
        <w:t xml:space="preserve">The transformation of</w:t>
      </w:r>
      <w:r>
        <w:t xml:space="preserve"> </w:t>
      </w:r>
      <w:r>
        <w:rPr>
          <w:bCs/>
          <w:b/>
        </w:rPr>
        <w:t xml:space="preserve">Saudi Arabia Riyadh</w:t>
      </w:r>
      <w:r>
        <w:t xml:space="preserve"> </w:t>
      </w:r>
      <w:r>
        <w:t xml:space="preserve">into a diversified, global economic powerhouse is one of the most significant geopolitical and business developments of the 21st century. In this dynamic environment, the role of the</w:t>
      </w:r>
      <w:r>
        <w:t xml:space="preserve"> </w:t>
      </w:r>
      <w:r>
        <w:rPr>
          <w:bCs/>
          <w:b/>
        </w:rPr>
        <w:t xml:space="preserve">Business Consultant</w:t>
      </w:r>
      <w:r>
        <w:t xml:space="preserve"> </w:t>
      </w:r>
      <w:r>
        <w:t xml:space="preserve">has evolved from a supportive function to a strategic imperative.</w:t>
      </w:r>
    </w:p>
    <w:p>
      <w:pPr>
        <w:pStyle w:val="BodyText"/>
      </w:pPr>
      <w:r>
        <w:t xml:space="preserve">This article has demonstrated that successful navigation of Vision 2030 requires more than just capital; it demands sophisticated knowledge management, regulatory compliance, human capital optimization, and digital innovation. As Riyadh continues its rapid ascent, businesses that leverage high-quality consulting services will be best positioned to thrive in the post-oil economy. The synergy between local ambition and global expertise embodied by the</w:t>
      </w:r>
      <w:r>
        <w:t xml:space="preserve"> </w:t>
      </w:r>
      <w:r>
        <w:rPr>
          <w:bCs/>
          <w:b/>
        </w:rPr>
        <w:t xml:space="preserve">Business Consultant</w:t>
      </w:r>
      <w:r>
        <w:t xml:space="preserve"> </w:t>
      </w:r>
      <w:r>
        <w:t xml:space="preserve">serves as a catalyst for sustainable growth in</w:t>
      </w:r>
      <w:r>
        <w:t xml:space="preserve"> </w:t>
      </w:r>
      <w:r>
        <w:rPr>
          <w:bCs/>
          <w:b/>
        </w:rPr>
        <w:t xml:space="preserve">Saudi Arabia Riyadh</w:t>
      </w:r>
      <w:r>
        <w:t xml:space="preserve">.</w:t>
      </w:r>
    </w:p>
    <w:bookmarkEnd w:id="26"/>
    <w:bookmarkStart w:id="27" w:name="references"/>
    <w:p>
      <w:pPr>
        <w:pStyle w:val="Heading4"/>
      </w:pPr>
      <w:r>
        <w:t xml:space="preserve">References</w:t>
      </w:r>
    </w:p>
    <w:p>
      <w:pPr>
        <w:pStyle w:val="FirstParagraph"/>
      </w:pPr>
      <w:r>
        <w:rPr>
          <w:iCs/>
          <w:i/>
        </w:rPr>
        <w:t xml:space="preserve">(Note: References are illustrative for academic format)</w:t>
      </w:r>
    </w:p>
    <w:p>
      <w:pPr>
        <w:numPr>
          <w:ilvl w:val="0"/>
          <w:numId w:val="1001"/>
        </w:numPr>
        <w:pStyle w:val="Compact"/>
      </w:pPr>
      <w:r>
        <w:t xml:space="preserve">- Kingdom of Saudi Vision 2030 Document. (2016). General Public Authority.</w:t>
      </w:r>
    </w:p>
    <w:p>
      <w:pPr>
        <w:numPr>
          <w:ilvl w:val="0"/>
          <w:numId w:val="1001"/>
        </w:numPr>
        <w:pStyle w:val="Compact"/>
      </w:pPr>
      <w:r>
        <w:t xml:space="preserve">- Al-Hassan, A. (2021). "Saudization and Corporate Performance in Riyadh." Journal of Arab Business Studies, 14(3), 45-62.</w:t>
      </w:r>
    </w:p>
    <w:p>
      <w:pPr>
        <w:numPr>
          <w:ilvl w:val="0"/>
          <w:numId w:val="1001"/>
        </w:numPr>
        <w:pStyle w:val="Compact"/>
      </w:pPr>
      <w:r>
        <w:t xml:space="preserve">- McKinsey &amp; Company. (2023). "The Future of Work in Saudi Arabia: Adapting to Digital Transformation."</w:t>
      </w:r>
    </w:p>
    <w:p>
      <w:pPr>
        <w:numPr>
          <w:ilvl w:val="0"/>
          <w:numId w:val="1001"/>
        </w:numPr>
        <w:pStyle w:val="Compact"/>
      </w:pPr>
      <w:r>
        <w:t xml:space="preserve">- World Bank Group. (2022). "Saudi Economic Monitor: Diversifying Revenue Sources."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the Post-Oil Economy: A Case Study of Riyadh, Saudi Arabia</dc:title>
  <dc:creator/>
  <cp:keywords/>
  <dcterms:created xsi:type="dcterms:W3CDTF">2026-07-29T14:26:24Z</dcterms:created>
  <dcterms:modified xsi:type="dcterms:W3CDTF">2026-07-29T14:26:24Z</dcterms:modified>
</cp:coreProperties>
</file>

<file path=docProps/custom.xml><?xml version="1.0" encoding="utf-8"?>
<Properties xmlns="http://schemas.openxmlformats.org/officeDocument/2006/custom-properties" xmlns:vt="http://schemas.openxmlformats.org/officeDocument/2006/docPropsVTypes"/>
</file>