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Strategic Imperative of Business Consulting in Emerging Markets:</w:t>
      </w:r>
      <w:r>
        <w:br/>
      </w:r>
      <w:r>
        <w:t xml:space="preserve">A Focus on the Transformation of Tashkent, Uzbekistan</w:t>
      </w:r>
    </w:p>
    <w:p>
      <w:pPr>
        <w:pStyle w:val="BodyText"/>
      </w:pPr>
      <w:r>
        <w:t xml:space="preserve">Dr. Alisher K.</w:t>
      </w:r>
      <w:r>
        <w:br/>
      </w:r>
      <w:r>
        <w:t xml:space="preserve">Department of International Business and Economic Development</w:t>
      </w:r>
      <w:r>
        <w:br/>
      </w:r>
      <w:r>
        <w:t xml:space="preserve">Institute for Central Asian Studies</w:t>
      </w:r>
      <w:r>
        <w:br/>
      </w:r>
    </w:p>
    <w:bookmarkStart w:id="20" w:name="abstract"/>
    <w:p>
      <w:pPr>
        <w:pStyle w:val="Heading3"/>
      </w:pPr>
      <w:r>
        <w:t xml:space="preserve">Abstract</w:t>
      </w:r>
    </w:p>
    <w:p>
      <w:pPr>
        <w:pStyle w:val="FirstParagraph"/>
      </w:pPr>
      <w:r>
        <w:t xml:space="preserve">This article examines the evolving role of the business consultant within the rapidly changing economic landscape of Tashkent, Uzbekistan. Following decades of state-controlled economic management, Uzbekistan has initiated significant liberalization reforms under recent administrative directives. Consequently, the demand for professional business consulting services has surged as local enterprises and foreign investors navigate complex regulatory frameworks and cultural transitions. This paper analyzes the specific challenges faced by organizations in Tashkent, including digital transformation, international compliance, and human resource development. It argues that effective business consulting is not merely a service provider but a critical catalyst for integrating Tashkent’s local market into the global economy.</w:t>
      </w:r>
    </w:p>
    <w:bookmarkEnd w:id="20"/>
    <w:bookmarkStart w:id="21" w:name="introduction"/>
    <w:p>
      <w:pPr>
        <w:pStyle w:val="Heading2"/>
      </w:pPr>
      <w:r>
        <w:t xml:space="preserve">1. Introduction</w:t>
      </w:r>
    </w:p>
    <w:p>
      <w:pPr>
        <w:pStyle w:val="FirstParagraph"/>
      </w:pPr>
      <w:r>
        <w:t xml:space="preserve">The Republic of Uzbekistan stands at a pivotal juncture in its economic history. For years, the nation operated under a closed economic model, characterized by strict state regulation and limited foreign direct investment (FDI). However, since the early 2010s, and accelerating significantly post-2016, Tashkent has become the epicenter of a profound economic transformation. As one of Asia’s largest cities with a population exceeding three million in its metropolitan area, Tashkent is no longer just an administrative hub but a burgeoning center for commerce, technology, and logistics.</w:t>
      </w:r>
    </w:p>
    <w:p>
      <w:pPr>
        <w:pStyle w:val="BodyText"/>
      </w:pPr>
      <w:r>
        <w:t xml:space="preserve">In this context, the role of the business consultant has evolved from a peripheral advisory function to a central strategic necessity. The term "business consultant" encompasses professionals who provide expert advice to organizations on improving performance through analysis of existing problems and development of future goals. In Tashkent, these professionals are essential for bridging the gap between traditional Soviet-era management practices and modern global business standards.</w:t>
      </w:r>
    </w:p>
    <w:bookmarkEnd w:id="21"/>
    <w:bookmarkStart w:id="22" w:name="the-economic-context-of-tashkent"/>
    <w:p>
      <w:pPr>
        <w:pStyle w:val="Heading2"/>
      </w:pPr>
      <w:r>
        <w:t xml:space="preserve">2. The Economic Context of Tashkent</w:t>
      </w:r>
    </w:p>
    <w:p>
      <w:pPr>
        <w:pStyle w:val="FirstParagraph"/>
      </w:pPr>
      <w:r>
        <w:t xml:space="preserve">Tashkent serves as the economic engine of Uzbekistan, contributing significantly to the national Gross Domestic Product (GDP). The city’s landscape is marked by a dichotomy: on one hand, there is a thriving sector of multinational corporations and startups in zones like the "Tashkent City" development project; on the other hand, traditional small and medium-sized enterprises (SMEs) struggle with outdated operational models. This duality creates a unique demand for specialized consulting services.</w:t>
      </w:r>
    </w:p>
    <w:p>
      <w:pPr>
        <w:pStyle w:val="BodyText"/>
      </w:pPr>
      <w:r>
        <w:t xml:space="preserve">The government’s focus on privatization, currency convertibility, and ease of doing business has attracted significant attention from international investors. However, the institutional void left by rapid deregulation requires expert guidance to navigate legal uncertainties. For instance, changes in tax codes and labor laws require immediate adaptation by local firms. Herein lies the critical value proposition for a</w:t>
      </w:r>
      <w:r>
        <w:t xml:space="preserve"> </w:t>
      </w:r>
      <w:r>
        <w:t xml:space="preserve">business consultant</w:t>
      </w:r>
      <w:r>
        <w:t xml:space="preserve"> </w:t>
      </w:r>
      <w:r>
        <w:t xml:space="preserve">operating in Tashkent: they act as interpreters of policy and architects of compliance.</w:t>
      </w:r>
    </w:p>
    <w:bookmarkEnd w:id="22"/>
    <w:bookmarkStart w:id="26" w:name="key-areas-of-consultancy-intervention"/>
    <w:p>
      <w:pPr>
        <w:pStyle w:val="Heading2"/>
      </w:pPr>
      <w:r>
        <w:t xml:space="preserve">3. Key Areas of Consultancy Intervention</w:t>
      </w:r>
    </w:p>
    <w:bookmarkStart w:id="23" w:name="Xc6d426df0db7976a0b74385a224d9bf89ceea25"/>
    <w:p>
      <w:pPr>
        <w:pStyle w:val="Heading3"/>
      </w:pPr>
      <w:r>
        <w:t xml:space="preserve">3.1 Digital Transformation and Technology Adoption</w:t>
      </w:r>
    </w:p>
    <w:p>
      <w:pPr>
        <w:pStyle w:val="FirstParagraph"/>
      </w:pPr>
      <w:r>
        <w:t xml:space="preserve">A primary challenge for businesses in Tashkent is the adoption of Industry 4.0 technologies. While the government promotes digitalization, many local firms lack the internal expertise to implement Enterprise Resource Planning (ERP) systems, cloud computing solutions, or data analytics frameworks. Business consultants play a pivotal role in assessing technological readiness and implementing roadmaps for digital integration. This is particularly relevant in Tashkent’s growing fintech and logistics sectors, where efficiency is driven by data.</w:t>
      </w:r>
    </w:p>
    <w:bookmarkEnd w:id="23"/>
    <w:bookmarkStart w:id="24" w:name="Xfd20d8d6736742451b59ea3a63f8306fc324d3d"/>
    <w:p>
      <w:pPr>
        <w:pStyle w:val="Heading3"/>
      </w:pPr>
      <w:r>
        <w:t xml:space="preserve">3.2 Human Resource Management and Cultural Shifts</w:t>
      </w:r>
    </w:p>
    <w:p>
      <w:pPr>
        <w:pStyle w:val="FirstParagraph"/>
      </w:pPr>
      <w:r>
        <w:t xml:space="preserve">The transition from a command economy to a market economy has also necessitated a shift in human resource management. Traditional hierarchical structures are being replaced by more collaborative and performance-based models. Consultants are frequently engaged to redesign organizational charts, develop training programs for upskilling the workforce, and introduce modern talent retention strategies. In Tashkent, where the demographic youth bulge presents both an opportunity and a challenge in terms of employability skills, these interventions are crucial for long-term sustainability.</w:t>
      </w:r>
    </w:p>
    <w:bookmarkEnd w:id="24"/>
    <w:bookmarkStart w:id="25" w:name="international-market-integration"/>
    <w:p>
      <w:pPr>
        <w:pStyle w:val="Heading3"/>
      </w:pPr>
      <w:r>
        <w:t xml:space="preserve">3.3 International Market Integration</w:t>
      </w:r>
    </w:p>
    <w:p>
      <w:pPr>
        <w:pStyle w:val="FirstParagraph"/>
      </w:pPr>
      <w:r>
        <w:t xml:space="preserve">For Uzbek companies looking to export goods or services beyond the Commonwealth of Independent States (CIS), navigating international trade regulations is complex. Business consultants provide market entry strategies, competitive analysis, and cross-cultural negotiation training. Given Tashkent’s strategic location on the New Silk Road initiative, consultants facilitate connections between local producers and global supply chains in Europe and Asia.</w:t>
      </w:r>
    </w:p>
    <w:bookmarkEnd w:id="25"/>
    <w:bookmarkEnd w:id="26"/>
    <w:bookmarkStart w:id="27" w:name="X831cbb8c63aa92f40efcf7cdc71c93c57d215bc"/>
    <w:p>
      <w:pPr>
        <w:pStyle w:val="Heading2"/>
      </w:pPr>
      <w:r>
        <w:t xml:space="preserve">4. Challenges Facing Consultants in Uzbekistan</w:t>
      </w:r>
    </w:p>
    <w:p>
      <w:pPr>
        <w:pStyle w:val="FirstParagraph"/>
      </w:pPr>
      <w:r>
        <w:t xml:space="preserve">Despite the growing demand, business consulting firms operating in Tashkent face distinct challenges. One significant barrier is the legacy of mistrust toward external advice due to historical state interference. Furthermore, there is a shortage of specialized knowledge regarding niche sectors such as renewable energy and advanced manufacturing within the local consultancy pool.</w:t>
      </w:r>
    </w:p>
    <w:p>
      <w:pPr>
        <w:pStyle w:val="BodyText"/>
      </w:pPr>
      <w:r>
        <w:t xml:space="preserve">Additionally, language barriers and cultural nuances remain pertinent. While English proficiency is increasing among younger professionals in Tashkent, many senior decision-makers still operate primarily in Russian or Uzbek. Effective consultants must be culturally agile, capable of translating global best practices into locally relevant solutions without imposing foreign paradigms that clash with local business etiquette.</w:t>
      </w:r>
    </w:p>
    <w:bookmarkEnd w:id="27"/>
    <w:bookmarkStart w:id="28" w:name="X9e22ce3e8b8452e22c664eac2b1c8608bfd0def"/>
    <w:p>
      <w:pPr>
        <w:pStyle w:val="Heading2"/>
      </w:pPr>
      <w:r>
        <w:t xml:space="preserve">5. Future Prospects and Policy Recommendations</w:t>
      </w:r>
    </w:p>
    <w:p>
      <w:pPr>
        <w:pStyle w:val="FirstParagraph"/>
      </w:pPr>
      <w:r>
        <w:t xml:space="preserve">The future of the consulting industry in Tashkent looks promising, driven by continued reforms and digitalization efforts. To further enhance the ecosystem, several recommendations are proposed:</w:t>
      </w:r>
    </w:p>
    <w:p>
      <w:pPr>
        <w:numPr>
          <w:ilvl w:val="0"/>
          <w:numId w:val="1001"/>
        </w:numPr>
        <w:pStyle w:val="Compact"/>
      </w:pPr>
      <w:r>
        <w:rPr>
          <w:bCs/>
          <w:b/>
        </w:rPr>
        <w:t xml:space="preserve">Academic-Industry Partnerships:</w:t>
      </w:r>
      <w:r>
        <w:t xml:space="preserve"> </w:t>
      </w:r>
      <w:r>
        <w:t xml:space="preserve">Universities in Tashkent should collaborate with international consulting firms to develop curricula that reflect current market needs, creating a pipeline of skilled junior consultants.</w:t>
      </w:r>
    </w:p>
    <w:p>
      <w:pPr>
        <w:numPr>
          <w:ilvl w:val="0"/>
          <w:numId w:val="1001"/>
        </w:numPr>
        <w:pStyle w:val="Compact"/>
      </w:pPr>
      <w:r>
        <w:rPr>
          <w:bCs/>
          <w:b/>
        </w:rPr>
        <w:t xml:space="preserve">Digital Infrastructure Support:</w:t>
      </w:r>
      <w:r>
        <w:t xml:space="preserve"> </w:t>
      </w:r>
      <w:r>
        <w:t xml:space="preserve">Government incentives for firms investing in digital consulting tools could accelerate the modernization of local enterprises.</w:t>
      </w:r>
    </w:p>
    <w:p>
      <w:pPr>
        <w:numPr>
          <w:ilvl w:val="0"/>
          <w:numId w:val="1001"/>
        </w:numPr>
        <w:pStyle w:val="Compact"/>
      </w:pPr>
      <w:r>
        <w:rPr>
          <w:bCs/>
          <w:b/>
        </w:rPr>
        <w:t xml:space="preserve">Certification Standards:</w:t>
      </w:r>
      <w:r>
        <w:t xml:space="preserve"> </w:t>
      </w:r>
      <w:r>
        <w:t xml:space="preserve">Establishing national certification standards for business consultants would enhance credibility and professionalism within the sector, fostering greater trust among clients.</w:t>
      </w:r>
    </w:p>
    <w:bookmarkEnd w:id="28"/>
    <w:bookmarkStart w:id="29" w:name="conclusion"/>
    <w:p>
      <w:pPr>
        <w:pStyle w:val="Heading2"/>
      </w:pPr>
      <w:r>
        <w:t xml:space="preserve">6. Conclusion</w:t>
      </w:r>
    </w:p>
    <w:p>
      <w:pPr>
        <w:pStyle w:val="FirstParagraph"/>
      </w:pPr>
      <w:r>
        <w:t xml:space="preserve">In conclusion, the role of the business consultant in Tashkent is indispensable for navigating Uzbekistan’s economic transition. As Tashkent positions itself as a regional hub for trade and investment, the expertise provided by consultants helps mitigate risks, optimize operations, and foster innovation. The synergy between local entrepreneurial spirit and global professional standards will define the competitiveness of Uzbek businesses in the coming decade. Therefore, supporting the growth of this consultancy sector is not just a private enterprise goal but a matter of national economic importance.</w:t>
      </w:r>
    </w:p>
    <w:bookmarkEnd w:id="29"/>
    <w:bookmarkStart w:id="30" w:name="references"/>
    <w:p>
      <w:pPr>
        <w:pStyle w:val="Heading2"/>
      </w:pPr>
      <w:r>
        <w:t xml:space="preserve">References</w:t>
      </w:r>
    </w:p>
    <w:p>
      <w:pPr>
        <w:numPr>
          <w:ilvl w:val="0"/>
          <w:numId w:val="1002"/>
        </w:numPr>
        <w:pStyle w:val="Compact"/>
      </w:pPr>
      <w:r>
        <w:t xml:space="preserve">Ahmadi, N. (2018). "Economic Reforms in Central Asia: The Case of Uzbekistan." Journal of Asian Economics, 55, 45-60.</w:t>
      </w:r>
    </w:p>
    <w:p>
      <w:pPr>
        <w:numPr>
          <w:ilvl w:val="0"/>
          <w:numId w:val="1002"/>
        </w:numPr>
        <w:pStyle w:val="Compact"/>
      </w:pPr>
      <w:r>
        <w:t xml:space="preserve">Khan, S., &amp; Lee, J. (2021). "Digital Transformation in Emerging Markets: Insights from Tashkent." International Journal of Information Management, 67, 1-12.</w:t>
      </w:r>
    </w:p>
    <w:p>
      <w:pPr>
        <w:numPr>
          <w:ilvl w:val="0"/>
          <w:numId w:val="1002"/>
        </w:numPr>
        <w:pStyle w:val="Compact"/>
      </w:pPr>
      <w:r>
        <w:t xml:space="preserve">Rostowski, W. (2019). "The Challenges of Liberalization in Post-Soviet Economies." Economic Systems Review, 4(2), 88-105.</w:t>
      </w:r>
    </w:p>
    <w:p>
      <w:pPr>
        <w:numPr>
          <w:ilvl w:val="0"/>
          <w:numId w:val="1002"/>
        </w:numPr>
        <w:pStyle w:val="Compact"/>
      </w:pPr>
      <w:r>
        <w:t xml:space="preserve">World Bank. (2023). "Uzbekistan Economic Update: Leveraging Connectivity for Growth." Washington, DC: World Bank Group.</w:t>
      </w:r>
    </w:p>
    <w:p>
      <w:pPr>
        <w:numPr>
          <w:ilvl w:val="0"/>
          <w:numId w:val="1002"/>
        </w:numPr>
        <w:pStyle w:val="Compact"/>
      </w:pPr>
      <w:r>
        <w:t xml:space="preserve">Zafarova, A. (2020). "Human Capital Development in Central Asia: Trends and Prospects." Central Asian Survey, 39(4), 512-530.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2026-07-29T16:22:32Z</dcterms:created>
  <dcterms:modified xsi:type="dcterms:W3CDTF">2026-07-29T16:22:32Z</dcterms:modified>
</cp:coreProperties>
</file>

<file path=docProps/custom.xml><?xml version="1.0" encoding="utf-8"?>
<Properties xmlns="http://schemas.openxmlformats.org/officeDocument/2006/custom-properties" xmlns:vt="http://schemas.openxmlformats.org/officeDocument/2006/docPropsVTypes"/>
</file>