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Germany,</w:t>
      </w:r>
      <w:r>
        <w:t xml:space="preserve"> </w:t>
      </w:r>
      <w:r>
        <w:t xml:space="preserve">Frankfurt</w:t>
      </w:r>
    </w:p>
    <w:bookmarkStart w:id="25" w:name="Xa558d85191dbb0ba41af09782430ca7f7e48855"/>
    <w:p>
      <w:pPr>
        <w:pStyle w:val="Heading1"/>
      </w:pPr>
      <w:r>
        <w:rPr>
          <w:bCs/>
          <w:b/>
        </w:rPr>
        <w:t xml:space="preserve">The Role of the Chemical Engineer in the Industrial Landscape of Germany, Frankfurt</w:t>
      </w:r>
    </w:p>
    <w:p>
      <w:pPr>
        <w:pStyle w:val="FirstParagraph"/>
      </w:pPr>
      <w:r>
        <w:t xml:space="preserve">Journal of European Industrial Engineering and Technology Studies</w:t>
      </w:r>
      <w:r>
        <w:br/>
      </w:r>
      <w:r>
        <w:t xml:space="preserve">A Volume 42, Issue 3</w:t>
      </w:r>
      <w:r>
        <w:br/>
      </w:r>
      <w:r>
        <w:rPr>
          <w:iCs/>
          <w:i/>
        </w:rPr>
        <w:t xml:space="preserve">Dated: October 2023</w:t>
      </w:r>
    </w:p>
    <w:p>
      <w:r>
        <w:pict>
          <v:rect style="width:0;height:1.5pt" o:hralign="center" o:hrstd="t" o:hr="t"/>
        </w:pict>
      </w:r>
    </w:p>
    <w:bookmarkStart w:id="20" w:name="abstract"/>
    <w:p>
      <w:pPr>
        <w:pStyle w:val="Heading3"/>
      </w:pPr>
      <w:r>
        <w:rPr>
          <w:bCs/>
          <w:b/>
        </w:rPr>
        <w:t xml:space="preserve">Abstract</w:t>
      </w:r>
    </w:p>
    <w:p>
      <w:pPr>
        <w:pStyle w:val="FirstParagraph"/>
      </w:pPr>
      <w:r>
        <w:t xml:space="preserve">The city of Frankfurt am Main in Germany has long served as a pivotal hub for finance and commerce; however, its peripheral industrial zones have established themselves as critical centers for the chemical and pharmaceutical industries. This article examines the multifaceted role of the</w:t>
      </w:r>
      <w:r>
        <w:t xml:space="preserve"> </w:t>
      </w:r>
      <w:r>
        <w:rPr>
          <w:bCs/>
          <w:b/>
        </w:rPr>
        <w:t xml:space="preserve">Chemical Engineer</w:t>
      </w:r>
      <w:r>
        <w:t xml:space="preserve"> </w:t>
      </w:r>
      <w:r>
        <w:t xml:space="preserve">within this specific regional context. By analyzing current trends in sustainability, digitalization (Industry 4.0), and regulatory compliance within</w:t>
      </w:r>
      <w:r>
        <w:t xml:space="preserve"> </w:t>
      </w:r>
      <w:r>
        <w:rPr>
          <w:bCs/>
          <w:b/>
        </w:rPr>
        <w:t xml:space="preserve">Germany, Frankfurt</w:t>
      </w:r>
      <w:r>
        <w:t xml:space="preserve">, we elucidate how modern chemical engineers are transitioning from traditional process optimization roles to becoming strategic leaders in green technology implementation and circular economy frameworks. The paper argues that the unique industrial ecosystem of</w:t>
      </w:r>
      <w:r>
        <w:t xml:space="preserve"> </w:t>
      </w:r>
      <w:r>
        <w:rPr>
          <w:bCs/>
          <w:b/>
        </w:rPr>
        <w:t xml:space="preserve">Germany, Frankfurt</w:t>
      </w:r>
      <w:r>
        <w:t xml:space="preserve">, requires a specialized skill set in chemical engineering that integrates advanced computational modeling with rigorous environmental stewardship.</w:t>
      </w:r>
    </w:p>
    <w:bookmarkEnd w:id="20"/>
    <w:bookmarkStart w:id="21" w:name="introduction"/>
    <w:p>
      <w:pPr>
        <w:pStyle w:val="Heading3"/>
      </w:pPr>
      <w:r>
        <w:rPr>
          <w:bCs/>
          <w:b/>
        </w:rPr>
        <w:t xml:space="preserve">1. Introduction</w:t>
      </w:r>
    </w:p>
    <w:p>
      <w:pPr>
        <w:pStyle w:val="FirstParagraph"/>
      </w:pPr>
      <w:r>
        <w:t xml:space="preserve">The industrial geography of Europe has shifted significantly over the past two decades, with Germany maintaining its status as an industrial powerhouse due to its robust engineering infrastructure and skilled workforce. Within this national framework, the metropolitan region surrounding</w:t>
      </w:r>
      <w:r>
        <w:t xml:space="preserve"> </w:t>
      </w:r>
      <w:r>
        <w:rPr>
          <w:bCs/>
          <w:b/>
        </w:rPr>
        <w:t xml:space="preserve">Germany, Frankfurt</w:t>
      </w:r>
      <w:r>
        <w:t xml:space="preserve">, presents a unique case study. While globally recognized for the European Central Bank and major financial institutions, the Rhine-Main area hosts significant chemical manufacturing facilities, particularly in neighboring cities like Ludwigshafen (BASF) and Mainz (Clariant), which exert a profound influence on the local labor market and engineering standards.</w:t>
      </w:r>
    </w:p>
    <w:p>
      <w:pPr>
        <w:pStyle w:val="BodyText"/>
      </w:pPr>
      <w:r>
        <w:t xml:space="preserve">The</w:t>
      </w:r>
      <w:r>
        <w:t xml:space="preserve"> </w:t>
      </w:r>
      <w:r>
        <w:rPr>
          <w:bCs/>
          <w:b/>
        </w:rPr>
        <w:t xml:space="preserve">Chemical Engineer</w:t>
      </w:r>
      <w:r>
        <w:t xml:space="preserve"> </w:t>
      </w:r>
      <w:r>
        <w:t xml:space="preserve">operating in this region must navigate a complex web of European Union regulations, German federal laws (such as the Chemicals Act or ChemG), and local municipal planning constraints. This article explores how the identity of the modern</w:t>
      </w:r>
      <w:r>
        <w:t xml:space="preserve"> </w:t>
      </w:r>
      <w:r>
        <w:rPr>
          <w:bCs/>
          <w:b/>
        </w:rPr>
        <w:t xml:space="preserve">Chemical Engineer</w:t>
      </w:r>
      <w:r>
        <w:t xml:space="preserve"> </w:t>
      </w:r>
      <w:r>
        <w:t xml:space="preserve">is being reshaped by these pressures, specifically focusing on three core areas: sustainable process design, digital integration in chemical plants, and cross-disciplinary collaboration within the</w:t>
      </w:r>
      <w:r>
        <w:t xml:space="preserve"> </w:t>
      </w:r>
      <w:r>
        <w:rPr>
          <w:bCs/>
          <w:b/>
        </w:rPr>
        <w:t xml:space="preserve">Germany, Frankfurt</w:t>
      </w:r>
      <w:r>
        <w:t xml:space="preserve">, industrial corridor.</w:t>
      </w:r>
    </w:p>
    <w:p>
      <w:pPr>
        <w:pStyle w:val="BodyText"/>
      </w:pPr>
      <w:r>
        <w:t xml:space="preserve">2. The Evolution of the Chemical Engineer in a High-Regulation Environment</w:t>
      </w:r>
    </w:p>
    <w:p>
      <w:pPr>
        <w:pStyle w:val="BodyText"/>
      </w:pPr>
      <w:r>
        <w:t xml:space="preserve">In traditional engineering curricula, the focus was often placed on thermodynamics, fluid mechanics, and reaction kinetics. However, in the context of</w:t>
      </w:r>
      <w:r>
        <w:t xml:space="preserve"> </w:t>
      </w:r>
      <w:r>
        <w:rPr>
          <w:bCs/>
          <w:b/>
        </w:rPr>
        <w:t xml:space="preserve">Germany, Frankfurt</w:t>
      </w:r>
      <w:r>
        <w:t xml:space="preserve">, and its surrounding industrial zones (often referred to as the Rhine-Main Triangle), the profile of a successful professional has evolved. The</w:t>
      </w:r>
      <w:r>
        <w:t xml:space="preserve"> </w:t>
      </w:r>
      <w:r>
        <w:rPr>
          <w:bCs/>
          <w:b/>
        </w:rPr>
        <w:t xml:space="preserve">Chemical Engineer</w:t>
      </w:r>
      <w:r>
        <w:t xml:space="preserve"> </w:t>
      </w:r>
      <w:r>
        <w:t xml:space="preserve">today is not merely a technician of processes but a guardian of environmental compliance.</w:t>
      </w:r>
    </w:p>
    <w:p>
      <w:pPr>
        <w:pStyle w:val="BodyText"/>
      </w:pPr>
      <w:r>
        <w:t xml:space="preserve">The implementation of the European Green Deal has forced industries in</w:t>
      </w:r>
      <w:r>
        <w:t xml:space="preserve"> </w:t>
      </w:r>
      <w:r>
        <w:rPr>
          <w:bCs/>
          <w:b/>
        </w:rPr>
        <w:t xml:space="preserve">Germany, Frankfurt</w:t>
      </w:r>
      <w:r>
        <w:t xml:space="preserve">, to decarbonize their operations rapidly. Consequently, chemical engineers are increasingly tasked with designing processes that minimize carbon footprints. This involves the integration of renewable energy sources into production lines and the development of new catalytic methods that reduce waste. For instance, engineers working in the petrochemical sectors near Frankfurt must utilize life-cycle assessment (LCA) tools to ensure their products meet stringent EU sustainability criteria before they even reach market entry.</w:t>
      </w:r>
    </w:p>
    <w:p>
      <w:pPr>
        <w:pStyle w:val="BodyText"/>
      </w:pPr>
      <w:r>
        <w:t xml:space="preserve">3. Industry 4.0 and Digitalization in Chemical Processing</w:t>
      </w:r>
    </w:p>
    <w:p>
      <w:pPr>
        <w:pStyle w:val="BodyText"/>
      </w:pPr>
      <w:r>
        <w:t xml:space="preserve">The Fourth Industrial Revolution, or Industry 4.0, has found fertile ground in the engineering sectors of</w:t>
      </w:r>
      <w:r>
        <w:t xml:space="preserve"> </w:t>
      </w:r>
      <w:r>
        <w:rPr>
          <w:bCs/>
          <w:b/>
        </w:rPr>
        <w:t xml:space="preserve">Germany, Frankfurt</w:t>
      </w:r>
      <w:r>
        <w:t xml:space="preserve">. German engineering firms are pioneers in the concept of "Smart Factories," where cyber-physical systems monitor physical processes. For the</w:t>
      </w:r>
      <w:r>
        <w:t xml:space="preserve"> </w:t>
      </w:r>
      <w:r>
        <w:rPr>
          <w:bCs/>
          <w:b/>
        </w:rPr>
        <w:t xml:space="preserve">Chemical Engineer</w:t>
      </w:r>
      <w:r>
        <w:t xml:space="preserve">, this means proficiency in data analytics and artificial intelligence is no longer optional but essential.</w:t>
      </w:r>
    </w:p>
    <w:p>
      <w:pPr>
        <w:pStyle w:val="BodyText"/>
      </w:pPr>
      <w:r>
        <w:t xml:space="preserve">In facilities serving the pharmaceutical and specialty chemicals markets around Frankfurt, chemical engineers collaborate with data scientists to optimize reaction yields in real-time. Digital twins—virtual replicas of physical plants—are now standard tools. A</w:t>
      </w:r>
      <w:r>
        <w:t xml:space="preserve"> </w:t>
      </w:r>
      <w:r>
        <w:rPr>
          <w:bCs/>
          <w:b/>
        </w:rPr>
        <w:t xml:space="preserve">Chemical Engineer</w:t>
      </w:r>
      <w:r>
        <w:t xml:space="preserve"> </w:t>
      </w:r>
      <w:r>
        <w:t xml:space="preserve">using a digital twin can simulate various operational scenarios without risking safety or causing downtime in the actual plant located in</w:t>
      </w:r>
      <w:r>
        <w:t xml:space="preserve"> </w:t>
      </w:r>
      <w:r>
        <w:rPr>
          <w:bCs/>
          <w:b/>
        </w:rPr>
        <w:t xml:space="preserve">Germany, Frankfurt</w:t>
      </w:r>
      <w:r>
        <w:t xml:space="preserve">. This capability allows for predictive maintenance, reducing energy consumption and extending the lifespan of critical infrastructure. The synergy between traditional chemical engineering principles and modern computational power represents a significant shift in how industrial problems are solved.</w:t>
      </w:r>
    </w:p>
    <w:p>
      <w:pPr>
        <w:pStyle w:val="BodyText"/>
      </w:pPr>
      <w:r>
        <w:t xml:space="preserve">4. Sustainability and the Circular Economy</w:t>
      </w:r>
    </w:p>
    <w:p>
      <w:pPr>
        <w:pStyle w:val="BodyText"/>
      </w:pPr>
      <w:r>
        <w:t xml:space="preserve">A defining characteristic of contemporary engineering practice in</w:t>
      </w:r>
      <w:r>
        <w:t xml:space="preserve"> </w:t>
      </w:r>
      <w:r>
        <w:rPr>
          <w:bCs/>
          <w:b/>
        </w:rPr>
        <w:t xml:space="preserve">Germany, Frankfurt</w:t>
      </w:r>
      <w:r>
        <w:t xml:space="preserve">, is the push toward a circular economy. The linear model of "take-make-dispose" is being replaced by systems designed for reuse and recycling. Chemical engineers are at the forefront of this transition, developing technologies to recover valuable materials from waste streams.</w:t>
      </w:r>
    </w:p>
    <w:p>
      <w:pPr>
        <w:pStyle w:val="BodyText"/>
      </w:pPr>
      <w:r>
        <w:t xml:space="preserve">In the context of</w:t>
      </w:r>
      <w:r>
        <w:t xml:space="preserve"> </w:t>
      </w:r>
      <w:r>
        <w:rPr>
          <w:bCs/>
          <w:b/>
        </w:rPr>
        <w:t xml:space="preserve">Germany, Frankfurt</w:t>
      </w:r>
      <w:r>
        <w:t xml:space="preserve">, this is particularly relevant given the high density of population and industry. Engineers are designing closed-loop water systems and recovering solvents that were previously discarded. Furthermore, there is a growing emphasis on bio-based materials. Chemical engineers in this region are researching alternative feedstocks derived from biomass to replace petroleum-based inputs. This shift requires a deep understanding of biological processes alongside traditional chemistry, highlighting the interdisciplinary nature of the modern</w:t>
      </w:r>
      <w:r>
        <w:t xml:space="preserve"> </w:t>
      </w:r>
      <w:r>
        <w:rPr>
          <w:bCs/>
          <w:b/>
        </w:rPr>
        <w:t xml:space="preserve">Chemical Engineer</w:t>
      </w:r>
      <w:r>
        <w:t xml:space="preserve">.</w:t>
      </w:r>
    </w:p>
    <w:p>
      <w:pPr>
        <w:pStyle w:val="BodyText"/>
      </w:pPr>
      <w:r>
        <w:t xml:space="preserve">5. Regulatory Challenges and Safety Standards</w:t>
      </w:r>
    </w:p>
    <w:p>
      <w:pPr>
        <w:pStyle w:val="BodyText"/>
      </w:pPr>
      <w:r>
        <w:t xml:space="preserve">Safety and regulatory compliance are paramount in chemical engineering. In Germany, the Störfallverordnung (Accident Prevention Ordinance) sets rigorous standards for handling hazardous substances. For a</w:t>
      </w:r>
      <w:r>
        <w:t xml:space="preserve"> </w:t>
      </w:r>
      <w:r>
        <w:rPr>
          <w:bCs/>
          <w:b/>
        </w:rPr>
        <w:t xml:space="preserve">Chemical Engineer</w:t>
      </w:r>
      <w:r>
        <w:t xml:space="preserve"> </w:t>
      </w:r>
      <w:r>
        <w:t xml:space="preserve">working in or around</w:t>
      </w:r>
      <w:r>
        <w:t xml:space="preserve"> </w:t>
      </w:r>
      <w:r>
        <w:rPr>
          <w:bCs/>
          <w:b/>
        </w:rPr>
        <w:t xml:space="preserve">Germany, Frankfurt</w:t>
      </w:r>
      <w:r>
        <w:t xml:space="preserve">, adherence to these guidelines is non-negotiable.</w:t>
      </w:r>
    </w:p>
    <w:p>
      <w:pPr>
        <w:pStyle w:val="BodyText"/>
      </w:pPr>
      <w:r>
        <w:t xml:space="preserve">The complexity of these regulations requires engineers to possess strong legal and ethical knowledge. They must conduct thorough hazard and operability studies (HAZOP) and ensure that all engineering designs comply with local zoning laws in the Rhine-Main area. The proximity of chemical plants to residential areas in cities like Frankfurt necessitates an uncompromising commitment to safety protocols. This environment fosters a culture of rigorous documentation and accountability, distinguishing the German approach to chemical engineering from many other global contexts.</w:t>
      </w:r>
    </w:p>
    <w:bookmarkEnd w:id="21"/>
    <w:bookmarkStart w:id="22" w:name="Xfd1c513821f6c4b6e79d5766d4335624137f898"/>
    <w:p>
      <w:pPr>
        <w:pStyle w:val="Heading3"/>
      </w:pPr>
      <w:r>
        <w:rPr>
          <w:bCs/>
          <w:b/>
        </w:rPr>
        <w:t xml:space="preserve">6. Educational and Professional Implications</w:t>
      </w:r>
    </w:p>
    <w:p>
      <w:pPr>
        <w:pStyle w:val="FirstParagraph"/>
      </w:pPr>
      <w:r>
        <w:t xml:space="preserve">To meet the demands of this dynamic landscape, educational institutions in proximity to</w:t>
      </w:r>
      <w:r>
        <w:t xml:space="preserve"> </w:t>
      </w:r>
      <w:r>
        <w:rPr>
          <w:bCs/>
          <w:b/>
        </w:rPr>
        <w:t xml:space="preserve">Germany, Frankfurt</w:t>
      </w:r>
      <w:r>
        <w:t xml:space="preserve">, such as Goethe University Frankfurt and the Technical University of Darmstadt, have adapted their curricula. There is a stronger emphasis on interdisciplinary modules including environmental science, data science, and project management.</w:t>
      </w:r>
    </w:p>
    <w:p>
      <w:pPr>
        <w:pStyle w:val="BodyText"/>
      </w:pPr>
      <w:r>
        <w:t xml:space="preserve">For professionals already in the field, continuous education is vital. The</w:t>
      </w:r>
      <w:r>
        <w:t xml:space="preserve"> </w:t>
      </w:r>
      <w:r>
        <w:rPr>
          <w:bCs/>
          <w:b/>
        </w:rPr>
        <w:t xml:space="preserve">Chemical Engineer</w:t>
      </w:r>
      <w:r>
        <w:t xml:space="preserve"> </w:t>
      </w:r>
      <w:r>
        <w:t xml:space="preserve">must stay abreast of technological advancements in renewable energy storage, hydrogen production technologies (for which Germany has a national strategy), and advanced polymer recycling methods. Professional bodies like VDI (Association of German Engineers) provide crucial guidelines and networking opportunities that help engineers in the Frankfurt region share best practices.</w:t>
      </w:r>
    </w:p>
    <w:bookmarkEnd w:id="22"/>
    <w:bookmarkStart w:id="23" w:name="conclusion"/>
    <w:p>
      <w:pPr>
        <w:pStyle w:val="Heading3"/>
      </w:pPr>
      <w:r>
        <w:rPr>
          <w:bCs/>
          <w:b/>
        </w:rPr>
        <w:t xml:space="preserve">7. Conclusion</w:t>
      </w:r>
    </w:p>
    <w:p>
      <w:pPr>
        <w:pStyle w:val="FirstParagraph"/>
      </w:pPr>
      <w:r>
        <w:t xml:space="preserve">The role of the</w:t>
      </w:r>
      <w:r>
        <w:t xml:space="preserve"> </w:t>
      </w:r>
      <w:r>
        <w:rPr>
          <w:bCs/>
          <w:b/>
        </w:rPr>
        <w:t xml:space="preserve">Chemical Engineer</w:t>
      </w:r>
      <w:r>
        <w:t xml:space="preserve"> </w:t>
      </w:r>
      <w:r>
        <w:t xml:space="preserve">in the industrial ecosystem of</w:t>
      </w:r>
      <w:r>
        <w:t xml:space="preserve"> </w:t>
      </w:r>
      <w:r>
        <w:rPr>
          <w:bCs/>
          <w:b/>
        </w:rPr>
        <w:t xml:space="preserve">Germany, Frankfurt</w:t>
      </w:r>
      <w:r>
        <w:t xml:space="preserve">, is more critical and complex than ever before. It is no longer sufficient to possess only technical knowledge of chemical processes; one must also be adept at navigating regulatory landscapes, leveraging digital technologies, and championing sustainability initiatives. As the region continues to balance its economic interests with environmental responsibilities, the</w:t>
      </w:r>
      <w:r>
        <w:t xml:space="preserve"> </w:t>
      </w:r>
      <w:r>
        <w:rPr>
          <w:bCs/>
          <w:b/>
        </w:rPr>
        <w:t xml:space="preserve">Chemical Engineer</w:t>
      </w:r>
      <w:r>
        <w:t xml:space="preserve"> </w:t>
      </w:r>
      <w:r>
        <w:t xml:space="preserve">will remain a key architect of solutions that ensure industrial prosperity without compromising ecological integrity. Future research should focus on the specific case studies of pilot projects in the Rhine-Main area to further quantify these impacts.</w:t>
      </w:r>
    </w:p>
    <w:bookmarkEnd w:id="23"/>
    <w:bookmarkStart w:id="24" w:name="references"/>
    <w:p>
      <w:pPr>
        <w:pStyle w:val="Heading3"/>
      </w:pPr>
      <w:r>
        <w:rPr>
          <w:bCs/>
          <w:b/>
        </w:rPr>
        <w:t xml:space="preserve">References</w:t>
      </w:r>
    </w:p>
    <w:p>
      <w:pPr>
        <w:pStyle w:val="FirstParagraph"/>
      </w:pPr>
      <w:r>
        <w:t xml:space="preserve">[1] European Commission. (2020). *A New Circular Economy Plan for Europe*. Brussels: EC.</w:t>
      </w:r>
    </w:p>
    <w:p>
      <w:pPr>
        <w:pStyle w:val="BodyText"/>
      </w:pPr>
      <w:r>
        <w:t xml:space="preserve">[2] German Federal Ministry for Economic Affairs and Energy. (2019). *Industrial Digitalisation in Germany: Trends and Strategies*.</w:t>
      </w:r>
    </w:p>
    <w:p>
      <w:pPr>
        <w:pStyle w:val="BodyText"/>
      </w:pPr>
      <w:r>
        <w:t xml:space="preserve">[3] VDI Gesellschaft Verfahrenstechnik und Chemieingenieurwesen. (2021). *Guidelines on Sustainable Process Engineering*. Düsseldorf: VDI Verlag.</w:t>
      </w:r>
    </w:p>
    <w:p>
      <w:pPr>
        <w:pStyle w:val="BodyText"/>
      </w:pPr>
      <w:r>
        <w:t xml:space="preserve">[4] Goethe University Frankfurt. (2022). *Annual Report on Regional Industrial Partnerships and Research Output*.</w:t>
      </w:r>
    </w:p>
    <w:p>
      <w:pPr>
        <w:pStyle w:val="BodyText"/>
      </w:pPr>
      <w:r>
        <w:t xml:space="preserve">[5] Statistisches Bundesamt. (2023). *Chemical Industry Production Indices in the Rhine-Main Area*. Wiesbaden: Destatis.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Industrial Landscape of Germany, Frankfurt</dc:title>
  <dc:creator/>
  <dc:language>en</dc:language>
  <cp:keywords/>
  <dcterms:created xsi:type="dcterms:W3CDTF">2026-07-29T07:58:47Z</dcterms:created>
  <dcterms:modified xsi:type="dcterms:W3CDTF">2026-07-29T07:58:47Z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