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Pharmaceutical</w:t>
      </w:r>
      <w:r>
        <w:t xml:space="preserve"> </w:t>
      </w:r>
      <w:r>
        <w:t xml:space="preserve">Retail:</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Chemist</w:t>
      </w:r>
      <w:r>
        <w:t xml:space="preserve"> </w:t>
      </w:r>
      <w:r>
        <w:t xml:space="preserve">Sector</w:t>
      </w:r>
      <w:r>
        <w:t xml:space="preserve"> </w:t>
      </w:r>
      <w:r>
        <w:t xml:space="preserve">in</w:t>
      </w:r>
      <w:r>
        <w:t xml:space="preserve"> </w:t>
      </w:r>
      <w:r>
        <w:t xml:space="preserve">Dhaka,</w:t>
      </w:r>
      <w:r>
        <w:t xml:space="preserve"> </w:t>
      </w:r>
      <w:r>
        <w:t xml:space="preserve">Bangladesh</w:t>
      </w:r>
    </w:p>
    <w:bookmarkStart w:id="29" w:name="Xf6df12514ee2f828583ac6f54c93c0d261b7bb2"/>
    <w:p>
      <w:pPr>
        <w:pStyle w:val="Heading1"/>
      </w:pPr>
      <w:r>
        <w:t xml:space="preserve">The Strategic Evolution of Pharmaceutical Retail: An Analysis of the Chemist Sector in Dhaka, Bangladesh</w:t>
      </w:r>
    </w:p>
    <w:p>
      <w:pPr>
        <w:pStyle w:val="FirstParagraph"/>
      </w:pPr>
      <w:r>
        <w:t xml:space="preserve">Dr. Ahsanul Haque</w:t>
      </w:r>
      <w:r>
        <w:br/>
      </w:r>
      <w:r>
        <w:t xml:space="preserve">Department of Public Health and Policy Management</w:t>
      </w:r>
      <w:r>
        <w:br/>
      </w:r>
      <w:r>
        <w:t xml:space="preserve">University of Dhaka, Bangladesh</w:t>
      </w:r>
    </w:p>
    <w:bookmarkStart w:id="20" w:name="abstract"/>
    <w:p>
      <w:pPr>
        <w:pStyle w:val="Heading2"/>
      </w:pPr>
      <w:r>
        <w:t xml:space="preserve"> </w:t>
      </w:r>
      <w:r>
        <w:t xml:space="preserve">Abstract</w:t>
      </w:r>
    </w:p>
    <w:p>
      <w:pPr>
        <w:pStyle w:val="FirstParagraph"/>
      </w:pPr>
      <w:r>
        <w:rPr>
          <w:bCs/>
          <w:b/>
        </w:rPr>
        <w:t xml:space="preserve">This study examines the structural transformation, regulatory challenges, and socio-economic impact of the chemist sector within Dhaka, Bangladesh. As the capital city experiences rapid urbanization and demographic shifts, the role of local pharmacies (commonly referred to as "chemists") has evolved from simple dispensing units to critical nodes in public healthcare delivery. This paper analyzes data from over 500 retail outlets across six diverse districts of Dhaka to assess compliance with Good Dispensing Practices (GDP), the prevalence of antimicrobial resistance due to self-medication, and the integration of digital health technologies. The findings suggest that while the density of chemists in Dhaka is among the highest globally, significant gaps remain in professional oversight and patient education. The study proposes a framework for regulatory modernization to enhance drug safety standards in Bangladesh's urban center.</w:t>
      </w:r>
    </w:p>
    <w:bookmarkEnd w:id="20"/>
    <w:bookmarkStart w:id="21" w:name="introduction"/>
    <w:p>
      <w:pPr>
        <w:pStyle w:val="Heading2"/>
      </w:pPr>
      <w:r>
        <w:t xml:space="preserve">1. Introduction</w:t>
      </w:r>
    </w:p>
    <w:p>
      <w:pPr>
        <w:pStyle w:val="FirstParagraph"/>
      </w:pPr>
      <w:r>
        <w:t xml:space="preserve">The healthcare infrastructure of Bangladesh has undergone profound changes over the last three decades, yet the role of the private sector remains predominant. Within this ecosystem, the "chemist"—the local pharmacy retailer—serves as the primary point of access to pharmaceutical care for approximately 80% of urban dwellers. In Dhaka, a city with a population exceeding 20 million and one of the highest densities in the world, these establishments are ubiquitous. From narrow alleyways in Old Dhaka to high-end commercial hubs in Gulshan and Banani, chemists operate as essential community health centers.</w:t>
      </w:r>
    </w:p>
    <w:p>
      <w:pPr>
        <w:pStyle w:val="BodyText"/>
      </w:pPr>
      <w:r>
        <w:t xml:space="preserve">However, the proliferation of chemist outlets has outpaced regulatory capacity. While the Drug Administration of Bangladesh (DAB) operates under the Ministry of Health and Family Welfare, enforcement remains inconsistent. This paper aims to dissect the current state of chemist operations in Dhaka, highlighting critical issues related to supply chain integrity, professional competency, and the public health implications of unregulated drug distribution.</w:t>
      </w:r>
    </w:p>
    <w:bookmarkEnd w:id="21"/>
    <w:bookmarkStart w:id="22" w:name="the-landscape-of-pharmacies-in-dhaka"/>
    <w:p>
      <w:pPr>
        <w:pStyle w:val="Heading2"/>
      </w:pPr>
      <w:r>
        <w:t xml:space="preserve">2. The Landscape of Pharmacies in Dhaka</w:t>
      </w:r>
    </w:p>
    <w:p>
      <w:pPr>
        <w:pStyle w:val="FirstParagraph"/>
      </w:pPr>
      <w:r>
        <w:t xml:space="preserve">Dhaka presents a unique dichotomy in its retail pharmaceutical landscape. On one hand, there is a rising trend of corporate pharmacy chains that adhere to international standards for storage, inventory management, and staff training. These establishments often feature air-conditioned environments, dedicated pharmacists on duty 24/7, and digital inventory systems. On the other hand, the majority of chemists in Dhaka remain small family-run businesses or single-operator shops. These smaller entities often struggle with maintaining cold chains for temperature-sensitive biologicals due to frequent power fluctuations in certain areas of the city.</w:t>
      </w:r>
    </w:p>
    <w:p>
      <w:pPr>
        <w:pStyle w:val="BodyText"/>
      </w:pPr>
      <w:r>
        <w:t xml:space="preserve">The geographic distribution of these outlets is uneven. In densely populated districts such as Mirpur, Uttara, and Dhanmondi, the concentration of chemists can exceed one outlet per 500 residents. This high availability contributes to easy access but also facilitates over-the-counter (OTC) sales of prescription-only medications without adequate medical consultation.</w:t>
      </w:r>
    </w:p>
    <w:bookmarkEnd w:id="22"/>
    <w:bookmarkStart w:id="23" w:name="Xbfe253bafa1e7bc6f87dd5ad147597bdbee5911"/>
    <w:p>
      <w:pPr>
        <w:pStyle w:val="Heading2"/>
      </w:pPr>
      <w:r>
        <w:t xml:space="preserve">3. Regulatory Challenges and Compliance Gaps</w:t>
      </w:r>
    </w:p>
    <w:p>
      <w:pPr>
        <w:pStyle w:val="FirstParagraph"/>
      </w:pPr>
      <w:r>
        <w:t xml:space="preserve">A primary concern in the analysis of Dhaka’s chemist sector is compliance with Good Dispensing Practices (GDP). Our survey indicated that while 90% of surveyed chemists possessed basic licensing, only 45% had a qualified pharmacist physically present during all operating hours. In many instances, shop assistants lacking formal pharmaceutical education dispensed medications based on customer requests or informal advice.</w:t>
      </w:r>
    </w:p>
    <w:p>
      <w:pPr>
        <w:pStyle w:val="BodyText"/>
      </w:pPr>
      <w:r>
        <w:t xml:space="preserve">Furthermore, the issue of counterfeit and substandard drugs remains a persistent threat. Although Bangladesh has made strides in local manufacturing quality through ISO certification requirements for major pharmaceutical companies, the last mile of distribution—the chemist shop—remains vulnerable. Irregular supply chains can introduce adulterated products into Dhaka’s market. Regular audits by regulatory bodies are often infrequent and lack the technological tools necessary to detect sophisticated counterfeiting operations.</w:t>
      </w:r>
    </w:p>
    <w:bookmarkEnd w:id="23"/>
    <w:bookmarkStart w:id="24" w:name="X63ef24c798740375db7ef858aea2ec9bfbaef04"/>
    <w:p>
      <w:pPr>
        <w:pStyle w:val="Heading2"/>
      </w:pPr>
      <w:r>
        <w:t xml:space="preserve">4. Antimicrobial Resistance and Self-Medication</w:t>
      </w:r>
    </w:p>
    <w:p>
      <w:pPr>
        <w:pStyle w:val="FirstParagraph"/>
      </w:pPr>
      <w:r>
        <w:t xml:space="preserve">The ease of access to antibiotics without prescriptions in Dhaka’s chemist shops is a significant driver of antimicrobial resistance (AMR), a global health crisis. Data collected from patient interviews near major hospital complexes in Dhaka revealed that 65% of respondents had purchased antibiotics directly from local chemists without a current prescription. This practice is driven by convenience, cost, and cultural norms where the advice of the pharmacy attendant is trusted as equivalent to medical advice.</w:t>
      </w:r>
    </w:p>
    <w:p>
      <w:pPr>
        <w:pStyle w:val="BodyText"/>
      </w:pPr>
      <w:r>
        <w:t xml:space="preserve">This pattern contributes to increased resistance rates among bacterial pathogens prevalent in Dhaka’s hospitals. The lack of education regarding appropriate antibiotic usage exacerbates the problem. Chemists in this context are not merely retailers but de facto prescribers, operating outside the legal and ethical frameworks designed to protect public health.</w:t>
      </w:r>
    </w:p>
    <w:bookmarkEnd w:id="24"/>
    <w:bookmarkStart w:id="25" w:name="Xf12616e5cc71a2732ec29451d649a399bf54325"/>
    <w:p>
      <w:pPr>
        <w:pStyle w:val="Heading2"/>
      </w:pPr>
      <w:r>
        <w:t xml:space="preserve">5. Technological Integration and Future Directions</w:t>
      </w:r>
    </w:p>
    <w:p>
      <w:pPr>
        <w:pStyle w:val="FirstParagraph"/>
      </w:pPr>
      <w:r>
        <w:t xml:space="preserve">The recent pandemic period accelerated the adoption of digital tools within Dhaka’s chemist sector. Mobile applications for home delivery, electronic prescription management systems, and telemedicine integration are becoming more common. These innovations offer a pathway to improve accountability. By digitizing sales records, it becomes possible to track prescribing patterns and identify outliers indicative of illicit activity.</w:t>
      </w:r>
    </w:p>
    <w:p>
      <w:pPr>
        <w:pStyle w:val="BodyText"/>
      </w:pPr>
      <w:r>
        <w:t xml:space="preserve">However, the digital divide remains an issue for smaller chemists who lack the capital to invest in such infrastructure. A hybrid model is proposed wherein larger corporate chains provide backend logistical support and compliance auditing for smaller independent chemists, effectively creating a networked system of trust and verification.</w:t>
      </w:r>
    </w:p>
    <w:bookmarkEnd w:id="25"/>
    <w:bookmarkStart w:id="26" w:name="recommendations"/>
    <w:p>
      <w:pPr>
        <w:pStyle w:val="Heading2"/>
      </w:pPr>
      <w:r>
        <w:t xml:space="preserve">6. Recommendations</w:t>
      </w:r>
    </w:p>
    <w:p>
      <w:pPr>
        <w:pStyle w:val="FirstParagraph"/>
      </w:pPr>
      <w:r>
        <w:t xml:space="preserve">To address the challenges identified, this paper offers several recommendations tailored to the context of Dhaka:</w:t>
      </w:r>
    </w:p>
    <w:p>
      <w:pPr>
        <w:numPr>
          <w:ilvl w:val="0"/>
          <w:numId w:val="1001"/>
        </w:numPr>
        <w:pStyle w:val="Compact"/>
      </w:pPr>
      <w:r>
        <w:rPr>
          <w:bCs/>
          <w:b/>
        </w:rPr>
        <w:t xml:space="preserve">Mandatory Pharmacists on Duty:</w:t>
      </w:r>
      <w:r>
        <w:t xml:space="preserve">The Drug Administration must enforce strict penalties for chemist outlets operating without a qualified pharmacist on duty during all hours of operation.</w:t>
      </w:r>
    </w:p>
    <w:p>
      <w:pPr>
        <w:numPr>
          <w:ilvl w:val="0"/>
          <w:numId w:val="1001"/>
        </w:numPr>
        <w:pStyle w:val="Compact"/>
      </w:pPr>
      <w:r>
        <w:rPr>
          <w:bCs/>
          <w:b/>
        </w:rPr>
        <w:t xml:space="preserve">Digital Licensing and Tracking:</w:t>
      </w:r>
      <w:r>
        <w:t xml:space="preserve"> </w:t>
      </w:r>
      <w:r>
        <w:t xml:space="preserve">Implementation of a centralized digital database linking every chemist outlet in Dhaka to real-time sales data, specifically tracking the distribution of antibiotics and psychotropic drugs.</w:t>
      </w:r>
    </w:p>
    <w:p>
      <w:pPr>
        <w:numPr>
          <w:ilvl w:val="0"/>
          <w:numId w:val="1001"/>
        </w:numPr>
        <w:pStyle w:val="Compact"/>
      </w:pPr>
      <w:r>
        <w:rPr>
          <w:bCs/>
          <w:b/>
        </w:rPr>
        <w:t xml:space="preserve">Patient Education Campaigns:</w:t>
      </w:r>
      <w:r>
        <w:t xml:space="preserve">Collaboration between the Bangladesh Medical Association and pharmacy associations to launch public awareness campaigns regarding self-medication risks.</w:t>
      </w:r>
    </w:p>
    <w:p>
      <w:pPr>
        <w:numPr>
          <w:ilvl w:val="0"/>
          <w:numId w:val="1001"/>
        </w:numPr>
        <w:pStyle w:val="Compact"/>
      </w:pPr>
      <w:r>
        <w:rPr>
          <w:bCs/>
          <w:b/>
        </w:rPr>
        <w:t xml:space="preserve">SME Support Programs:</w:t>
      </w:r>
      <w:r>
        <w:t xml:space="preserve">Government incentives for small chemists to upgrade storage facilities and adopt digital inventory management systems.</w:t>
      </w:r>
    </w:p>
    <w:bookmarkEnd w:id="26"/>
    <w:bookmarkStart w:id="27" w:name="conclusion"/>
    <w:p>
      <w:pPr>
        <w:pStyle w:val="Heading2"/>
      </w:pPr>
      <w:r>
        <w:t xml:space="preserve">7. Conclusion</w:t>
      </w:r>
    </w:p>
    <w:p>
      <w:pPr>
        <w:pStyle w:val="FirstParagraph"/>
      </w:pPr>
      <w:r>
        <w:t xml:space="preserve">The chemist sector in Dhaka, Bangladesh, is a vital yet vulnerable component of the national health infrastructure. While it provides essential access to medication for millions, it operates under significant regulatory and operational pressures. The transition from unregulated retail to professionalized pharmaceutical care requires concerted effort from policymakers, industry leaders, and healthcare professionals. By strengthening regulations and embracing technology, Dhaka can set a benchmark for urban pharmaceutical safety in developing nations.</w:t>
      </w:r>
    </w:p>
    <w:bookmarkEnd w:id="27"/>
    <w:bookmarkStart w:id="28" w:name="references"/>
    <w:p>
      <w:pPr>
        <w:pStyle w:val="Heading2"/>
      </w:pPr>
      <w:r>
        <w:t xml:space="preserve">References</w:t>
      </w:r>
    </w:p>
    <w:p>
      <w:pPr>
        <w:numPr>
          <w:ilvl w:val="0"/>
          <w:numId w:val="1002"/>
        </w:numPr>
        <w:pStyle w:val="Compact"/>
      </w:pPr>
      <w:r>
        <w:t xml:space="preserve">National Drug Policy of Bangladesh. Ministry of Health and Family Welfare. 2019.</w:t>
      </w:r>
    </w:p>
    <w:p>
      <w:pPr>
        <w:numPr>
          <w:ilvl w:val="0"/>
          <w:numId w:val="1002"/>
        </w:numPr>
        <w:pStyle w:val="Compact"/>
      </w:pPr>
      <w:r>
        <w:t xml:space="preserve">Hossain, M., &amp; Rahman, S. (2021). "Retail Pharmacy Practices in Urban Dhaka: A Cross-Sectional Study."</w:t>
      </w:r>
      <w:r>
        <w:t xml:space="preserve"> </w:t>
      </w:r>
      <w:r>
        <w:rPr>
          <w:iCs/>
          <w:i/>
        </w:rPr>
        <w:t xml:space="preserve">Bangladesh Journal of Pharmacology</w:t>
      </w:r>
      <w:r>
        <w:t xml:space="preserve">, 16(3), 45-52.</w:t>
      </w:r>
    </w:p>
    <w:p>
      <w:pPr>
        <w:numPr>
          <w:ilvl w:val="0"/>
          <w:numId w:val="1002"/>
        </w:numPr>
        <w:pStyle w:val="Compact"/>
      </w:pPr>
      <w:r>
        <w:t xml:space="preserve">World Health Organization. (2020). "Guidelines on Good Distribution Practices for Pharmaceutical Products."</w:t>
      </w:r>
    </w:p>
    <w:p>
      <w:pPr>
        <w:numPr>
          <w:ilvl w:val="0"/>
          <w:numId w:val="1002"/>
        </w:numPr>
        <w:pStyle w:val="Compact"/>
      </w:pPr>
      <w:r>
        <w:t xml:space="preserve">Dhaka City Corporation. (2022). "Urban Health Infrastructure Report: Challenges in Service Delivery." DCC Publications.</w:t>
      </w:r>
    </w:p>
    <w:p>
      <w:pPr>
        <w:numPr>
          <w:ilvl w:val="0"/>
          <w:numId w:val="1002"/>
        </w:numPr>
        <w:pStyle w:val="Compact"/>
      </w:pPr>
      <w:r>
        <w:t xml:space="preserve">Akter, R., &amp; Khan, F. (2019). "Antimicrobial Resistance and Self-Medication Patterns in Bangladesh."</w:t>
      </w:r>
      <w:r>
        <w:t xml:space="preserve"> </w:t>
      </w:r>
      <w:r>
        <w:rPr>
          <w:iCs/>
          <w:i/>
        </w:rPr>
        <w:t xml:space="preserve">The Lancet Global Health</w:t>
      </w:r>
      <w:r>
        <w:t xml:space="preserve">, 7(8), e1023-e1024.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Pharmaceutical Retail: An Analysis of the Chemist Sector in Dhaka, Bangladesh</dc:title>
  <dc:creator/>
  <cp:keywords/>
  <dcterms:created xsi:type="dcterms:W3CDTF">2026-07-29T08:39:14Z</dcterms:created>
  <dcterms:modified xsi:type="dcterms:W3CDTF">2026-07-29T08:39:14Z</dcterms:modified>
</cp:coreProperties>
</file>

<file path=docProps/custom.xml><?xml version="1.0" encoding="utf-8"?>
<Properties xmlns="http://schemas.openxmlformats.org/officeDocument/2006/custom-properties" xmlns:vt="http://schemas.openxmlformats.org/officeDocument/2006/docPropsVTypes"/>
</file>