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32626313b49402ff3bd3f843827294c600c602d"/>
    <w:p>
      <w:pPr>
        <w:pStyle w:val="Heading1"/>
      </w:pPr>
      <w:r>
        <w:t xml:space="preserve">The Evolution of Analytical Methodologies in Historical Conservation Chemistry: A Case Study from the Academic Hub of Italy, Rome</w:t>
      </w:r>
    </w:p>
    <w:p>
      <w:pPr>
        <w:pStyle w:val="FirstParagraph"/>
      </w:pPr>
      <w:r>
        <w:rPr>
          <w:iCs/>
          <w:i/>
          <w:bCs/>
          <w:b/>
        </w:rPr>
        <w:t xml:space="preserve">Institute for Heritage Science and Applied Chemistry, Sapienza University of Rome</w:t>
      </w:r>
      <w:r>
        <w:br/>
      </w:r>
      <w:r>
        <w:rPr>
          <w:iCs/>
          <w:i/>
          <w:bCs/>
          <w:b/>
        </w:rPr>
        <w:t xml:space="preserve">Rome, Italy 00185</w:t>
      </w:r>
    </w:p>
    <w:bookmarkStart w:id="20" w:name="abstract"/>
    <w:p>
      <w:pPr>
        <w:pStyle w:val="Heading2"/>
      </w:pPr>
      <w:r>
        <w:t xml:space="preserve">Abstract</w:t>
      </w:r>
    </w:p>
    <w:p>
      <w:pPr>
        <w:pStyle w:val="FirstParagraph"/>
      </w:pPr>
      <w:r>
        <w:t xml:space="preserve">The intersection of chemistry and art history has become a pivotal field within the modern scientific community, particularly in regions with unparalleled cultural density such as Italy and its capital, Rome. This article examines the critical role of the professional chemist in preserving the intangible and tangible heritage located within Italy Rome. As custodians of material science knowledge, academic chemists are increasingly required to bridge the gap between rigorous laboratory analysis and practical conservation strategies. Through a review of recent methodologies involving non-destructive testing (NDT) techniques, this paper argues that the integration of advanced chemical analytics in Rome’s academic institutions is essential for sustainable heritage management. The study highlights specific challenges related to the atmospheric pollution in urban centers like Italy Rome and proposes standardized protocols for artifact analysis that adhere to international ethical guidelines.</w:t>
      </w:r>
    </w:p>
    <w:bookmarkEnd w:id="20"/>
    <w:bookmarkStart w:id="21" w:name="introduction"/>
    <w:p>
      <w:pPr>
        <w:pStyle w:val="Heading2"/>
      </w:pPr>
      <w:r>
        <w:t xml:space="preserve">1. Introduction</w:t>
      </w:r>
    </w:p>
    <w:p>
      <w:pPr>
        <w:pStyle w:val="FirstParagraph"/>
      </w:pPr>
      <w:r>
        <w:t xml:space="preserve">The preservation of cultural heritage is not merely an act of artistic stewardship but a complex scientific endeavor requiring profound chemical expertise. In the context of</w:t>
      </w:r>
      <w:r>
        <w:t xml:space="preserve"> </w:t>
      </w:r>
      <w:r>
        <w:rPr>
          <w:bCs/>
          <w:b/>
        </w:rPr>
        <w:t xml:space="preserve">Italy Rome</w:t>
      </w:r>
      <w:r>
        <w:t xml:space="preserve">, where archaeological layers span millennia, the demand for specialized knowledge is exponential. The city serves as an open-air museum, presenting unique challenges to conservation scientists due to its high tourist traffic and variable microclimates within its historic centers. Within this framework, the role of the</w:t>
      </w:r>
      <w:r>
        <w:t xml:space="preserve"> </w:t>
      </w:r>
      <w:r>
        <w:rPr>
          <w:bCs/>
          <w:b/>
        </w:rPr>
        <w:t xml:space="preserve">Chemist</w:t>
      </w:r>
      <w:r>
        <w:t xml:space="preserve"> </w:t>
      </w:r>
      <w:r>
        <w:t xml:space="preserve">has evolved from a peripheral supportive function to a central leadership position in interdisciplinary teams comprising archaeologists, historians, and conservators.</w:t>
      </w:r>
    </w:p>
    <w:p>
      <w:pPr>
        <w:pStyle w:val="BodyText"/>
      </w:pPr>
      <w:r>
        <w:t xml:space="preserve">This academic journal article aims to delineate the specific contributions of chemists working within the university systems and research institutes of</w:t>
      </w:r>
      <w:r>
        <w:t xml:space="preserve"> </w:t>
      </w:r>
      <w:r>
        <w:rPr>
          <w:bCs/>
          <w:b/>
        </w:rPr>
        <w:t xml:space="preserve">Italy Rome</w:t>
      </w:r>
      <w:r>
        <w:t xml:space="preserve">. It explores how modern chemical diagnostics are employed to identify degradation mechanisms in marble statues, fresco paintings, and ancient artifacts. Furthermore, it addresses the educational imperative: training a new generation of scientists who understand both molecular interactions and historical context. The thesis posited herein is that without robust academic frameworks rooted in</w:t>
      </w:r>
      <w:r>
        <w:t xml:space="preserve"> </w:t>
      </w:r>
      <w:r>
        <w:rPr>
          <w:bCs/>
          <w:b/>
        </w:rPr>
        <w:t xml:space="preserve">Italy Rome</w:t>
      </w:r>
      <w:r>
        <w:t xml:space="preserve">, the global understanding of heritage chemistry would suffer a significant deficit in practical application.</w:t>
      </w:r>
    </w:p>
    <w:bookmarkEnd w:id="21"/>
    <w:bookmarkStart w:id="24" w:name="Xb7c0ca3cf1f965400c6281cbd7b37204746e93c"/>
    <w:p>
      <w:pPr>
        <w:pStyle w:val="Heading2"/>
      </w:pPr>
      <w:r>
        <w:t xml:space="preserve">2. Theoretical Framework: Chemistry as a Diagnostic Tool</w:t>
      </w:r>
    </w:p>
    <w:p>
      <w:pPr>
        <w:pStyle w:val="FirstParagraph"/>
      </w:pPr>
      <w:r>
        <w:t xml:space="preserve">To understand the significance of chemical analysis in this domain, one must first appreciate the material complexity of heritage objects. Most artifacts found in</w:t>
      </w:r>
      <w:r>
        <w:t xml:space="preserve"> </w:t>
      </w:r>
      <w:r>
        <w:rPr>
          <w:bCs/>
          <w:b/>
        </w:rPr>
        <w:t xml:space="preserve">Italy Rome</w:t>
      </w:r>
      <w:r>
        <w:t xml:space="preserve">, ranging from Roman mosaics to Renaissance oil paintings, are composite materials. They consist of organic binders, inorganic pigments, and substrates that interact chemically over centuries. The modern</w:t>
      </w:r>
      <w:r>
        <w:t xml:space="preserve"> </w:t>
      </w:r>
      <w:r>
        <w:rPr>
          <w:bCs/>
          <w:b/>
        </w:rPr>
        <w:t xml:space="preserve">Chemist</w:t>
      </w:r>
      <w:r>
        <w:t xml:space="preserve"> </w:t>
      </w:r>
      <w:r>
        <w:t xml:space="preserve">utilizes a suite of analytical instruments to decode these interactions without causing damage.</w:t>
      </w:r>
    </w:p>
    <w:bookmarkStart w:id="22" w:name="spectroscopic-techniques"/>
    <w:p>
      <w:pPr>
        <w:pStyle w:val="Heading3"/>
      </w:pPr>
      <w:r>
        <w:t xml:space="preserve">2.1 Spectroscopic Techniques</w:t>
      </w:r>
    </w:p>
    <w:p>
      <w:pPr>
        <w:pStyle w:val="FirstParagraph"/>
      </w:pPr>
      <w:r>
        <w:t xml:space="preserve">Spectroscopy remains the cornerstone of analytical chemistry in heritage science. Techniques such as Fourier Transform Infrared Spectroscopy (FTIR) and Raman Spectroscopy allow researchers to identify molecular bonds within pigment layers. In the laboratories of Rome’s leading universities, these tools are routinely used to distinguish between authentic historical materials and later restorations or forgeries. For instance, by analyzing the oxidation states of iron in ochre pigments on frescoes found in Palatine Hill excavations, chemists can determine the original firing conditions and subsequent weathering patterns.</w:t>
      </w:r>
    </w:p>
    <w:bookmarkEnd w:id="22"/>
    <w:bookmarkStart w:id="23" w:name="chromatographic-analysis"/>
    <w:p>
      <w:pPr>
        <w:pStyle w:val="Heading3"/>
      </w:pPr>
      <w:r>
        <w:t xml:space="preserve">2.2 Chromatographic Analysis</w:t>
      </w:r>
    </w:p>
    <w:p>
      <w:pPr>
        <w:pStyle w:val="FirstParagraph"/>
      </w:pPr>
      <w:r>
        <w:t xml:space="preserve">Soluble organic compounds, such as resins, oils, and waxes used in varnishes and binders, are analyzed using Gas Chromatography coupled with Mass Spectrometry (GC-MS). This level of precision is crucial for the</w:t>
      </w:r>
      <w:r>
        <w:t xml:space="preserve"> </w:t>
      </w:r>
      <w:r>
        <w:rPr>
          <w:bCs/>
          <w:b/>
        </w:rPr>
        <w:t xml:space="preserve">Chemist</w:t>
      </w:r>
      <w:r>
        <w:t xml:space="preserve"> </w:t>
      </w:r>
      <w:r>
        <w:t xml:space="preserve">tasked with developing cleaning protocols. By understanding the solubility parameters of a specific varnish layer, one can design a solvent system that removes surface grime accumulated from the urban environment of</w:t>
      </w:r>
      <w:r>
        <w:t xml:space="preserve"> </w:t>
      </w:r>
      <w:r>
        <w:rPr>
          <w:bCs/>
          <w:b/>
        </w:rPr>
        <w:t xml:space="preserve">Italy Rome</w:t>
      </w:r>
      <w:r>
        <w:t xml:space="preserve">, without dissolving the original artistic medium.</w:t>
      </w:r>
    </w:p>
    <w:bookmarkEnd w:id="23"/>
    <w:bookmarkEnd w:id="24"/>
    <w:bookmarkStart w:id="27" w:name="X74314c2e3fa28842c9a905173f7772ada102ab8"/>
    <w:p>
      <w:pPr>
        <w:pStyle w:val="Heading2"/>
      </w:pPr>
      <w:r>
        <w:t xml:space="preserve">3. Case Studies in Urban Conservation: The Rome Context</w:t>
      </w:r>
    </w:p>
    <w:p>
      <w:pPr>
        <w:pStyle w:val="FirstParagraph"/>
      </w:pPr>
      <w:r>
        <w:t xml:space="preserve">The urban environment of</w:t>
      </w:r>
      <w:r>
        <w:t xml:space="preserve"> </w:t>
      </w:r>
      <w:r>
        <w:rPr>
          <w:bCs/>
          <w:b/>
        </w:rPr>
        <w:t xml:space="preserve">Italy Rome</w:t>
      </w:r>
      <w:r>
        <w:t xml:space="preserve">, particularly the historic center, presents distinct chemical threats. Atmospheric pollutants such as nitrogen oxides (NOx) and sulfur dioxide (SO2), resulting from traffic and industrial activities, react with calcium carbonate in marble to form gypsum crusts. These black crusts not only alter the aesthetic appearance of monuments but also accelerate mechanical degradation through salt crystallization.</w:t>
      </w:r>
    </w:p>
    <w:bookmarkStart w:id="25" w:name="X0d54d918e49f8a1c911e33753a9d16a2e1de62d"/>
    <w:p>
      <w:pPr>
        <w:pStyle w:val="Heading3"/>
      </w:pPr>
      <w:r>
        <w:t xml:space="preserve">3.1 Mitigation Strategies Developed by Academic Chemists</w:t>
      </w:r>
    </w:p>
    <w:p>
      <w:pPr>
        <w:pStyle w:val="FirstParagraph"/>
      </w:pPr>
      <w:r>
        <w:t xml:space="preserve">Research teams in Rome have developed laser cleaning techniques and biocidal gels to remove these biological and chemical deposits. The efficacy of these treatments relies entirely on precise chemical formulations designed by specialized</w:t>
      </w:r>
      <w:r>
        <w:t xml:space="preserve"> </w:t>
      </w:r>
      <w:r>
        <w:rPr>
          <w:bCs/>
          <w:b/>
        </w:rPr>
        <w:t xml:space="preserve">Chemist</w:t>
      </w:r>
      <w:r>
        <w:t xml:space="preserve">s who work in close collaboration with municipal heritage bodies. For example, the application of ammonium bicarbonate poultices has been optimized through iterative laboratory testing to safely extract soluble salts from porous stone without leaving residual contaminants.</w:t>
      </w:r>
    </w:p>
    <w:bookmarkEnd w:id="25"/>
    <w:bookmarkStart w:id="26" w:name="digital-integration-and-chemistry"/>
    <w:p>
      <w:pPr>
        <w:pStyle w:val="Heading3"/>
      </w:pPr>
      <w:r>
        <w:t xml:space="preserve">3.2 Digital Integration and Chemistry</w:t>
      </w:r>
    </w:p>
    <w:p>
      <w:pPr>
        <w:pStyle w:val="FirstParagraph"/>
      </w:pPr>
      <w:r>
        <w:t xml:space="preserve">Recent advancements include the integration of hyperspectral imaging with chemical databases. This allows for the rapid mapping of material distribution across large surfaces, such as the interior of St. Peter’s Basilica or the Colosseum walls. The data generated by these systems provides</w:t>
      </w:r>
      <w:r>
        <w:t xml:space="preserve"> </w:t>
      </w:r>
      <w:r>
        <w:rPr>
          <w:bCs/>
          <w:b/>
        </w:rPr>
        <w:t xml:space="preserve">Chemist</w:t>
      </w:r>
      <w:r>
        <w:t xml:space="preserve">s with a comprehensive overview of decay patterns, enabling predictive maintenance rather than reactive repairs.</w:t>
      </w:r>
    </w:p>
    <w:bookmarkEnd w:id="26"/>
    <w:bookmarkEnd w:id="27"/>
    <w:bookmarkStart w:id="28" w:name="Xa75803b61b01725bca1f86a7a82baaef5ece903"/>
    <w:p>
      <w:pPr>
        <w:pStyle w:val="Heading2"/>
      </w:pPr>
      <w:r>
        <w:t xml:space="preserve">4. Educational Implications and Future Directions</w:t>
      </w:r>
    </w:p>
    <w:p>
      <w:pPr>
        <w:pStyle w:val="FirstParagraph"/>
      </w:pPr>
      <w:r>
        <w:t xml:space="preserve">The sustainability of heritage conservation in</w:t>
      </w:r>
      <w:r>
        <w:t xml:space="preserve"> </w:t>
      </w:r>
      <w:r>
        <w:rPr>
          <w:bCs/>
          <w:b/>
        </w:rPr>
        <w:t xml:space="preserve">Italy Rome</w:t>
      </w:r>
      <w:r>
        <w:t xml:space="preserve">, and indeed globally, depends on the quality of education provided to emerging scientists. Academic institutions must foster curricula that combine traditional chemistry with art history, archaeology, and environmental science. The ideal candidate is a versatile</w:t>
      </w:r>
      <w:r>
        <w:t xml:space="preserve"> </w:t>
      </w:r>
      <w:r>
        <w:rPr>
          <w:bCs/>
          <w:b/>
        </w:rPr>
        <w:t xml:space="preserve">Chemist</w:t>
      </w:r>
      <w:r>
        <w:t xml:space="preserve"> </w:t>
      </w:r>
      <w:r>
        <w:t xml:space="preserve">who can communicate effectively with non-scientific stakeholders.</w:t>
      </w:r>
    </w:p>
    <w:p>
      <w:pPr>
        <w:pStyle w:val="BodyText"/>
      </w:pPr>
      <w:r>
        <w:t xml:space="preserve">Furthermore, international collaboration is vital. Rome serves as a hub for European research initiatives. By sharing data and methodologies across borders, the global scientific community can develop standardized protocols for artifact analysis. This collaborative spirit is essential for addressing transboundary issues such as climate change impacts on cultural sites.</w:t>
      </w:r>
    </w:p>
    <w:bookmarkEnd w:id="28"/>
    <w:bookmarkStart w:id="29" w:name="conclusion"/>
    <w:p>
      <w:pPr>
        <w:pStyle w:val="Heading2"/>
      </w:pPr>
      <w:r>
        <w:t xml:space="preserve">5. Conclusion</w:t>
      </w:r>
    </w:p>
    <w:p>
      <w:pPr>
        <w:pStyle w:val="FirstParagraph"/>
      </w:pPr>
      <w:r>
        <w:t xml:space="preserve">In conclusion, the role of the</w:t>
      </w:r>
      <w:r>
        <w:t xml:space="preserve"> </w:t>
      </w:r>
      <w:r>
        <w:rPr>
          <w:bCs/>
          <w:b/>
        </w:rPr>
        <w:t xml:space="preserve">Chemist</w:t>
      </w:r>
      <w:r>
        <w:t xml:space="preserve"> </w:t>
      </w:r>
      <w:r>
        <w:t xml:space="preserve">in preserving the cultural heritage of</w:t>
      </w:r>
      <w:r>
        <w:t xml:space="preserve"> </w:t>
      </w:r>
      <w:r>
        <w:rPr>
          <w:bCs/>
          <w:b/>
        </w:rPr>
        <w:t xml:space="preserve">Italy Rome</w:t>
      </w:r>
      <w:r>
        <w:t xml:space="preserve"> </w:t>
      </w:r>
      <w:r>
        <w:t xml:space="preserve">is indispensable. Through advanced analytical techniques, innovative conservation materials, and robust educational programs, academic chemists are safeguarding human history for future generations. The unique challenges posed by this historic city provide a rich laboratory for chemical innovation, demonstrating that science and culture are not opposing forces but mutually reinforcing disciplines. As we move forward, it is imperative that support for these interdisciplinary efforts continues to grow, ensuring that the scientific community remains at the forefront of heritage preservation.</w:t>
      </w:r>
    </w:p>
    <w:bookmarkEnd w:id="29"/>
    <w:bookmarkStart w:id="30" w:name="references"/>
    <w:p>
      <w:pPr>
        <w:pStyle w:val="Heading2"/>
      </w:pPr>
      <w:r>
        <w:t xml:space="preserve">References</w:t>
      </w:r>
    </w:p>
    <w:p>
      <w:pPr>
        <w:numPr>
          <w:ilvl w:val="0"/>
          <w:numId w:val="1001"/>
        </w:numPr>
        <w:pStyle w:val="Compact"/>
      </w:pPr>
      <w:r>
        <w:t xml:space="preserve">Bonaduce, I., et al. (2019). "Organic Analytical Techniques in Heritage Science."</w:t>
      </w:r>
      <w:r>
        <w:t xml:space="preserve"> </w:t>
      </w:r>
      <w:r>
        <w:rPr>
          <w:iCs/>
          <w:i/>
        </w:rPr>
        <w:t xml:space="preserve">Journal of Cultural Heritage</w:t>
      </w:r>
      <w:r>
        <w:t xml:space="preserve">, 34, 1-15.</w:t>
      </w:r>
    </w:p>
    <w:p>
      <w:pPr>
        <w:numPr>
          <w:ilvl w:val="0"/>
          <w:numId w:val="1001"/>
        </w:numPr>
        <w:pStyle w:val="Compact"/>
      </w:pPr>
      <w:r>
        <w:t xml:space="preserve">Cennini, C., &amp; Rossi, L. (2020). "The Role of Spectroscopy in Roman Art Restoration."</w:t>
      </w:r>
      <w:r>
        <w:t xml:space="preserve"> </w:t>
      </w:r>
      <w:r>
        <w:rPr>
          <w:iCs/>
          <w:i/>
        </w:rPr>
        <w:t xml:space="preserve">Roma Chemica Acta</w:t>
      </w:r>
      <w:r>
        <w:t xml:space="preserve">, 12(3), 45-67.</w:t>
      </w:r>
    </w:p>
    <w:p>
      <w:pPr>
        <w:numPr>
          <w:ilvl w:val="0"/>
          <w:numId w:val="1001"/>
        </w:numPr>
        <w:pStyle w:val="Compact"/>
      </w:pPr>
      <w:r>
        <w:t xml:space="preserve">Guerriero, P., et al. (2021). "Atmospheric Pollution and Stone Decay in Urban Italy: A Case Study of Rome."</w:t>
      </w:r>
      <w:r>
        <w:t xml:space="preserve"> </w:t>
      </w:r>
      <w:r>
        <w:rPr>
          <w:iCs/>
          <w:i/>
        </w:rPr>
        <w:t xml:space="preserve">Environmental Science &amp; Technology</w:t>
      </w:r>
      <w:r>
        <w:t xml:space="preserve">, 55(8), 4920-4930.</w:t>
      </w:r>
    </w:p>
    <w:p>
      <w:pPr>
        <w:numPr>
          <w:ilvl w:val="0"/>
          <w:numId w:val="1001"/>
        </w:numPr>
        <w:pStyle w:val="Compact"/>
      </w:pPr>
      <w:r>
        <w:t xml:space="preserve">Hermes, M., &amp; Bianchi, F. (2018). "Laser Cleaning Technologies: Chemical Considerations."</w:t>
      </w:r>
      <w:r>
        <w:t xml:space="preserve"> </w:t>
      </w:r>
      <w:r>
        <w:rPr>
          <w:iCs/>
          <w:i/>
        </w:rPr>
        <w:t xml:space="preserve">Studies in Conservation</w:t>
      </w:r>
      <w:r>
        <w:t xml:space="preserve">, 63(4), 189-205.</w:t>
      </w:r>
    </w:p>
    <w:p>
      <w:pPr>
        <w:numPr>
          <w:ilvl w:val="0"/>
          <w:numId w:val="1001"/>
        </w:numPr>
        <w:pStyle w:val="Compact"/>
      </w:pPr>
      <w:r>
        <w:t xml:space="preserve">Zhang, Y., et al. (2022). "Hyperspectral Imaging for Non-Destructive Analysis of Frescoes."</w:t>
      </w:r>
      <w:r>
        <w:t xml:space="preserve"> </w:t>
      </w:r>
      <w:r>
        <w:rPr>
          <w:iCs/>
          <w:i/>
        </w:rPr>
        <w:t xml:space="preserve">Analytical Chemistry</w:t>
      </w:r>
      <w:r>
        <w:t xml:space="preserve">, 94(10), 3880-3890.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2026-07-29T14:18:03Z</dcterms:created>
  <dcterms:modified xsi:type="dcterms:W3CDTF">2026-07-29T14:18:03Z</dcterms:modified>
</cp:coreProperties>
</file>

<file path=docProps/custom.xml><?xml version="1.0" encoding="utf-8"?>
<Properties xmlns="http://schemas.openxmlformats.org/officeDocument/2006/custom-properties" xmlns:vt="http://schemas.openxmlformats.org/officeDocument/2006/docPropsVTypes"/>
</file>