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Shaping</w:t>
      </w:r>
      <w:r>
        <w:t xml:space="preserve"> </w:t>
      </w:r>
      <w:r>
        <w:t xml:space="preserve">Educational</w:t>
      </w:r>
      <w:r>
        <w:t xml:space="preserve"> </w:t>
      </w:r>
      <w:r>
        <w:t xml:space="preserve">Excellence</w:t>
      </w:r>
      <w:r>
        <w:t xml:space="preserve"> </w:t>
      </w:r>
      <w:r>
        <w:t xml:space="preserve">in</w:t>
      </w:r>
      <w:r>
        <w:t xml:space="preserve"> </w:t>
      </w:r>
      <w:r>
        <w:t xml:space="preserve">Almaty,</w:t>
      </w:r>
      <w:r>
        <w:t xml:space="preserve"> </w:t>
      </w:r>
      <w:r>
        <w:t xml:space="preserve">Kazakhstan</w:t>
      </w:r>
    </w:p>
    <w:p>
      <w:pPr>
        <w:pStyle w:val="FirstParagraph"/>
      </w:pPr>
      <w:r>
        <w:t xml:space="preserve">```html</w:t>
      </w:r>
    </w:p>
    <w:bookmarkStart w:id="32" w:name="Xe284fb8f7b314302a6fb7d25f76caeb7f25bee6"/>
    <w:p>
      <w:pPr>
        <w:pStyle w:val="Heading1"/>
      </w:pPr>
      <w:r>
        <w:t xml:space="preserve">The Role of the Curriculum Developer in Shaping Educational Excellence in Almaty, Kazakhstan</w:t>
      </w:r>
    </w:p>
    <w:p>
      <w:pPr>
        <w:pStyle w:val="FirstParagraph"/>
      </w:pPr>
      <w:r>
        <w:br/>
      </w:r>
    </w:p>
    <w:p>
      <w:pPr>
        <w:pStyle w:val="BodyText"/>
      </w:pPr>
      <w:r>
        <w:rPr>
          <w:bCs/>
          <w:b/>
        </w:rPr>
        <w:t xml:space="preserve">Abstract:</w:t>
      </w:r>
    </w:p>
    <w:p>
      <w:pPr>
        <w:pStyle w:val="BodyText"/>
      </w:pPr>
      <w:r>
        <w:t xml:space="preserve">This paper explores the critical role of curriculum development within the educational landscape of Almaty, Kazakhstan. As a major cultural and academic hub, Almaty serves as a testing ground for innovative pedagogical approaches that align with national reforms while addressing local community needs. Through an analysis of current trends in curriculum design, this study highlights how professional</w:t>
      </w:r>
      <w:r>
        <w:t xml:space="preserve"> </w:t>
      </w:r>
      <w:r>
        <w:rPr>
          <w:bCs/>
          <w:b/>
        </w:rPr>
        <w:t xml:space="preserve">Curriculum Developer</w:t>
      </w:r>
      <w:r>
        <w:t xml:space="preserve"> </w:t>
      </w:r>
      <w:r>
        <w:t xml:space="preserve">practices can enhance educational outcomes by integrating global standards with indigenous knowledge systems.</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Kazakhstan has undergone significant transformations in its education sector over the past few decades. The country's commitment to modernizing its schooling system reflects broader socio-economic goals aimed at fostering competitiveness on both regional and global scales. In this context, cities like</w:t>
      </w:r>
      <w:r>
        <w:t xml:space="preserve"> </w:t>
      </w:r>
      <w:r>
        <w:rPr>
          <w:bCs/>
          <w:b/>
        </w:rPr>
        <w:t xml:space="preserve">Kazakhstan Almaty</w:t>
      </w:r>
      <w:r>
        <w:t xml:space="preserve"> </w:t>
      </w:r>
      <w:r>
        <w:t xml:space="preserve">play pivotal roles due their historical significance as intellectual centers and dynamic urban environments where diverse populations converge.</w:t>
      </w:r>
    </w:p>
    <w:p>
      <w:pPr>
        <w:pStyle w:val="BodyText"/>
      </w:pPr>
      <w:r>
        <w:br/>
      </w:r>
    </w:p>
    <w:p>
      <w:pPr>
        <w:pStyle w:val="BodyText"/>
      </w:pPr>
      <w:r>
        <w:t xml:space="preserve">A key component driving these changes is the work of skilled professionals responsible for designing curricula tailored to meet evolving societal demands. These individuals, often referred to as</w:t>
      </w:r>
      <w:r>
        <w:t xml:space="preserve"> </w:t>
      </w:r>
      <w:r>
        <w:rPr>
          <w:bCs/>
          <w:b/>
        </w:rPr>
        <w:t xml:space="preserve">Curriculum Developers</w:t>
      </w:r>
      <w:r>
        <w:t xml:space="preserve">, must navigate complex challenges including balancing international best practices with locally relevant content, ensuring equity across various student demographics, and incorporating emerging technologies into traditional teaching methods.</w:t>
      </w:r>
    </w:p>
    <w:p>
      <w:pPr>
        <w:pStyle w:val="BodyText"/>
      </w:pPr>
      <w:r>
        <w:br/>
      </w:r>
    </w:p>
    <w:bookmarkEnd w:id="20"/>
    <w:bookmarkStart w:id="24" w:name="X2515b21f2d4e136a27a0d73e86c61400c42fb9f"/>
    <w:p>
      <w:pPr>
        <w:pStyle w:val="Heading2"/>
      </w:pPr>
      <w:r>
        <w:t xml:space="preserve">2. The Importance of Curriculum Development in Almaty’s Context</w:t>
      </w:r>
    </w:p>
    <w:p>
      <w:pPr>
        <w:pStyle w:val="FirstParagraph"/>
      </w:pPr>
      <w:r>
        <w:br/>
      </w:r>
    </w:p>
    <w:p>
      <w:pPr>
        <w:pStyle w:val="BodyText"/>
      </w:pPr>
      <w:r>
        <w:t xml:space="preserve">In</w:t>
      </w:r>
      <w:r>
        <w:t xml:space="preserve"> </w:t>
      </w:r>
      <w:r>
        <w:rPr>
          <w:bCs/>
          <w:b/>
        </w:rPr>
        <w:t xml:space="preserve">Kazakhstan Almaty</w:t>
      </w:r>
      <w:r>
        <w:t xml:space="preserve">, the process of curriculum development takes place against a backdrop rich in cultural diversity yet marked by ongoing efforts to standardize educational quality across all levels—from primary schools to universities. This balance requires careful consideration of several factors:</w:t>
      </w:r>
    </w:p>
    <w:p>
      <w:pPr>
        <w:pStyle w:val="BodyText"/>
      </w:pPr>
      <w:r>
        <w:br/>
      </w:r>
    </w:p>
    <w:bookmarkStart w:id="21" w:name="cultural-relevance-and-identity"/>
    <w:p>
      <w:pPr>
        <w:pStyle w:val="Heading3"/>
      </w:pPr>
      <w:r>
        <w:t xml:space="preserve">2.1 Cultural Relevance and Identity</w:t>
      </w:r>
    </w:p>
    <w:p>
      <w:pPr>
        <w:pStyle w:val="FirstParagraph"/>
      </w:pPr>
      <w:r>
        <w:br/>
      </w:r>
    </w:p>
    <w:p>
      <w:pPr>
        <w:pStyle w:val="BodyText"/>
      </w:pPr>
      <w:r>
        <w:t xml:space="preserve">One of the primary concerns for any</w:t>
      </w:r>
      <w:r>
        <w:t xml:space="preserve"> </w:t>
      </w:r>
      <w:r>
        <w:rPr>
          <w:bCs/>
          <w:b/>
        </w:rPr>
        <w:t xml:space="preserve">Curriculum Developer</w:t>
      </w:r>
      <w:r>
        <w:t xml:space="preserve"> </w:t>
      </w:r>
      <w:r>
        <w:t xml:space="preserve">working in Almaty is preserving and promoting Kazakh language, history, culture, and values alongside exposure to international perspectives. For instance, incorporating elements such as nomadic heritage into science lessons or using local literature examples when analyzing literary themes ensures students remain connected to their roots without sacrificing broader learning objectives.</w:t>
      </w:r>
    </w:p>
    <w:p>
      <w:pPr>
        <w:pStyle w:val="BodyText"/>
      </w:pPr>
      <w:r>
        <w:br/>
      </w:r>
    </w:p>
    <w:bookmarkEnd w:id="21"/>
    <w:bookmarkStart w:id="22" w:name="addressing-socioeconomic-disparities"/>
    <w:p>
      <w:pPr>
        <w:pStyle w:val="Heading3"/>
      </w:pPr>
      <w:r>
        <w:t xml:space="preserve">2.2 Addressing Socioeconomic Disparities</w:t>
      </w:r>
    </w:p>
    <w:p>
      <w:pPr>
        <w:pStyle w:val="FirstParagraph"/>
      </w:pPr>
      <w:r>
        <w:br/>
      </w:r>
    </w:p>
    <w:p>
      <w:pPr>
        <w:pStyle w:val="BodyText"/>
      </w:pPr>
      <w:r>
        <w:t xml:space="preserve">While Almaty boasts some of the country's most prestigious institutions, disparities persist between well-funded private establishments and under-resourced public schools operating in peripheral districts. Effective</w:t>
      </w:r>
      <w:r>
        <w:t xml:space="preserve"> </w:t>
      </w:r>
      <w:r>
        <w:rPr>
          <w:bCs/>
          <w:b/>
        </w:rPr>
        <w:t xml:space="preserve">Curriculum Developer</w:t>
      </w:r>
      <w:r>
        <w:t xml:space="preserve"> </w:t>
      </w:r>
      <w:r>
        <w:t xml:space="preserve">strategies must account for these differences by creating flexible frameworks adaptable to varying resource constraints.</w:t>
      </w:r>
    </w:p>
    <w:p>
      <w:pPr>
        <w:pStyle w:val="BodyText"/>
      </w:pPr>
      <w:r>
        <w:br/>
      </w:r>
    </w:p>
    <w:bookmarkEnd w:id="22"/>
    <w:bookmarkStart w:id="23" w:name="preparing-students-for-future-challenges"/>
    <w:p>
      <w:pPr>
        <w:pStyle w:val="Heading3"/>
      </w:pPr>
      <w:r>
        <w:t xml:space="preserve">2.3 Preparing Students for Future Challenges</w:t>
      </w:r>
    </w:p>
    <w:p>
      <w:pPr>
        <w:pStyle w:val="FirstParagraph"/>
      </w:pPr>
      <w:r>
        <w:br/>
      </w:r>
    </w:p>
    <w:p>
      <w:pPr>
        <w:pStyle w:val="BodyText"/>
      </w:pPr>
      <w:r>
        <w:t xml:space="preserve">Given Kazakhstan's rapid integration into the global economy, there is increasing pressure on educators to equip young people with skills essential for success in fields such as technology, entrepreneurship, and environmental sustainability. A forward-thinking approach involves embedding competencies related to digital literacy, critical thinking, and cross-cultural communication directly into subject-specific content areas.</w:t>
      </w:r>
    </w:p>
    <w:p>
      <w:pPr>
        <w:pStyle w:val="BodyText"/>
      </w:pPr>
      <w:r>
        <w:br/>
      </w:r>
    </w:p>
    <w:bookmarkEnd w:id="23"/>
    <w:bookmarkEnd w:id="24"/>
    <w:bookmarkStart w:id="28" w:name="Xc6f83b65b06d134a3abdb7b02b3d9570716fea9"/>
    <w:p>
      <w:pPr>
        <w:pStyle w:val="Heading2"/>
      </w:pPr>
      <w:r>
        <w:t xml:space="preserve">3. Best Practices for Curriculum Development</w:t>
      </w:r>
    </w:p>
    <w:p>
      <w:pPr>
        <w:pStyle w:val="FirstParagraph"/>
      </w:pPr>
      <w:r>
        <w:br/>
      </w:r>
    </w:p>
    <w:p>
      <w:pPr>
        <w:pStyle w:val="BodyText"/>
      </w:pPr>
      <w:r>
        <w:t xml:space="preserve">To effectively address the unique challenges faced by institutions in</w:t>
      </w:r>
      <w:r>
        <w:t xml:space="preserve"> </w:t>
      </w:r>
      <w:r>
        <w:rPr>
          <w:bCs/>
          <w:b/>
        </w:rPr>
        <w:t xml:space="preserve">Kazakhstan Almaty</w:t>
      </w:r>
      <w:r>
        <w:t xml:space="preserve">,</w:t>
      </w:r>
      <w:r>
        <w:t xml:space="preserve"> </w:t>
      </w:r>
      <w:r>
        <w:rPr>
          <w:bCs/>
          <w:b/>
        </w:rPr>
        <w:t xml:space="preserve">Curriculum Developer</w:t>
      </w:r>
      <w:r>
        <w:t xml:space="preserve"> </w:t>
      </w:r>
      <w:r>
        <w:t xml:space="preserve">practitioners should adhere to established principles derived from international research and experience:</w:t>
      </w:r>
    </w:p>
    <w:p>
      <w:pPr>
        <w:pStyle w:val="BodyText"/>
      </w:pPr>
      <w:r>
        <w:br/>
      </w:r>
    </w:p>
    <w:bookmarkStart w:id="25" w:name="stakeholder-engagement"/>
    <w:p>
      <w:pPr>
        <w:pStyle w:val="Heading3"/>
      </w:pPr>
      <w:r>
        <w:t xml:space="preserve">3.1 Stakeholder Engagement</w:t>
      </w:r>
    </w:p>
    <w:p>
      <w:pPr>
        <w:pStyle w:val="FirstParagraph"/>
      </w:pPr>
      <w:r>
        <w:br/>
      </w:r>
    </w:p>
    <w:p>
      <w:pPr>
        <w:pStyle w:val="BodyText"/>
      </w:pPr>
      <w:r>
        <w:t xml:space="preserve">The most successful curricula result from collaborative processes involving teachers, administrators, parents, industry partners, government officials, and even students themselves. By engaging stakeholders early on during planning stages,</w:t>
      </w:r>
      <w:r>
        <w:t xml:space="preserve"> </w:t>
      </w:r>
      <w:r>
        <w:rPr>
          <w:bCs/>
          <w:b/>
        </w:rPr>
        <w:t xml:space="preserve">Curriculum Developer</w:t>
      </w:r>
      <w:r>
        <w:br/>
      </w:r>
    </w:p>
    <w:bookmarkEnd w:id="25"/>
    <w:bookmarkStart w:id="26" w:name="evidence-based-design"/>
    <w:p>
      <w:pPr>
        <w:pStyle w:val="Heading3"/>
      </w:pPr>
      <w:r>
        <w:t xml:space="preserve">3.2 Evidence-Based Design</w:t>
      </w:r>
    </w:p>
    <w:p>
      <w:pPr>
        <w:pStyle w:val="FirstParagraph"/>
      </w:pPr>
      <w:r>
        <w:br/>
      </w:r>
    </w:p>
    <w:p>
      <w:pPr>
        <w:pStyle w:val="BodyText"/>
      </w:pPr>
      <w:r>
        <w:t xml:space="preserve">Data-driven decision-making forms the foundation upon which robust curricula are built. Utilizing assessment data collected from formative and summative evaluations allows&lt; strong&gt; Curriculum Developer</w:t>
      </w:r>
      <w:r>
        <w:br/>
      </w:r>
    </w:p>
    <w:bookmarkEnd w:id="26"/>
    <w:bookmarkStart w:id="27" w:name="alignment-with-national-standards"/>
    <w:p>
      <w:pPr>
        <w:pStyle w:val="Heading3"/>
      </w:pPr>
      <w:r>
        <w:t xml:space="preserve">3.3 Alignment With National Standards</w:t>
      </w:r>
    </w:p>
    <w:p>
      <w:pPr>
        <w:pStyle w:val="FirstParagraph"/>
      </w:pPr>
      <w:r>
        <w:br/>
      </w:r>
    </w:p>
    <w:p>
      <w:pPr>
        <w:pStyle w:val="BodyText"/>
      </w:pPr>
      <w:r>
        <w:t xml:space="preserve">While adapting external models may seem appealing,</w:t>
      </w:r>
      <w:r>
        <w:rPr>
          <w:bCs/>
          <w:b/>
        </w:rPr>
        <w:t xml:space="preserve">Curriculum Developer</w:t>
      </w:r>
      <w:r>
        <w:br/>
      </w:r>
    </w:p>
    <w:bookmarkEnd w:id="27"/>
    <w:bookmarkEnd w:id="28"/>
    <w:bookmarkStart w:id="29" w:name="Xcf77097e7cd46304f658dd80650f1ba590453a4"/>
    <w:p>
      <w:pPr>
        <w:pStyle w:val="Heading2"/>
      </w:pPr>
      <w:r>
        <w:t xml:space="preserve">4. Case Study: Integrating Technology Into Mathematics Education in Almaty Schools</w:t>
      </w:r>
    </w:p>
    <w:p>
      <w:pPr>
        <w:pStyle w:val="FirstParagraph"/>
      </w:pPr>
      <w:r>
        <w:br/>
      </w:r>
    </w:p>
    <w:p>
      <w:pPr>
        <w:pStyle w:val="BodyText"/>
      </w:pPr>
      <w:r>
        <w:t xml:space="preserve">A recent initiative spearheaded by leading</w:t>
      </w:r>
      <w:r>
        <w:t xml:space="preserve"> </w:t>
      </w:r>
      <w:r>
        <w:rPr>
          <w:bCs/>
          <w:b/>
        </w:rPr>
        <w:t xml:space="preserve">Curriculum Developer Kazakhstan Almaty</w:t>
      </w:r>
      <w:r>
        <w:t xml:space="preserve">, this project introduced interactive software platforms designed to simulate real-world problem-solving scenarios typically encountered in engineering disciplines.</w:t>
      </w:r>
    </w:p>
    <w:p>
      <w:pPr>
        <w:pStyle w:val="BodyText"/>
      </w:pPr>
      <w:r>
        <w:br/>
      </w:r>
    </w:p>
    <w:p>
      <w:pPr>
        <w:pStyle w:val="BodyText"/>
      </w:pPr>
      <w:r>
        <w:t xml:space="preserve">Preliminary findings indicate substantial gains not only in test scores but also in overall engagement levels among participants. Teachers reported higher satisfaction rates owing partly to reduced administrative burdens associated with manual grading tasks enabled through automated feedback mechanisms embedded within those tools.</w:t>
      </w:r>
    </w:p>
    <w:p>
      <w:pPr>
        <w:pStyle w:val="BodyText"/>
      </w:pPr>
      <w:r>
        <w:br/>
      </w:r>
    </w:p>
    <w:bookmarkEnd w:id="29"/>
    <w:bookmarkStart w:id="30" w:name="conclusion"/>
    <w:p>
      <w:pPr>
        <w:pStyle w:val="Heading2"/>
      </w:pPr>
      <w:r>
        <w:t xml:space="preserve">5. Conclusion</w:t>
      </w:r>
    </w:p>
    <w:p>
      <w:pPr>
        <w:pStyle w:val="FirstParagraph"/>
      </w:pPr>
      <w:r>
        <w:br/>
      </w:r>
    </w:p>
    <w:p>
      <w:pPr>
        <w:pStyle w:val="BodyText"/>
      </w:pPr>
      <w:r>
        <w:t xml:space="preserve">In conclusion, the ongoing transformation underway within Kazakhstan's education sector offers unprecedented opportunities for growth provided appropriate measures are taken at every stage along the way—including initial conceptualization phase led by qualified</w:t>
      </w:r>
      <w:r>
        <w:t xml:space="preserve"> </w:t>
      </w:r>
      <w:r>
        <w:rPr>
          <w:bCs/>
          <w:b/>
        </w:rPr>
        <w:t xml:space="preserve">Curriculum Developer Kazakhstan Almaty</w:t>
      </w:r>
      <w:r>
        <w:t xml:space="preserve">. Ultimately though success hinges upon sustained commitment from all parties involved ensuring long term viability regardless of short term setbacks encountered along journey forward together.</w:t>
      </w:r>
    </w:p>
    <w:p>
      <w:pPr>
        <w:pStyle w:val="BodyText"/>
      </w:pPr>
      <w:r>
        <w:br/>
      </w:r>
    </w:p>
    <w:bookmarkEnd w:id="30"/>
    <w:bookmarkStart w:id="31" w:name="references"/>
    <w:p>
      <w:pPr>
        <w:pStyle w:val="Heading2"/>
      </w:pPr>
      <w:r>
        <w:t xml:space="preserve">References</w:t>
      </w:r>
    </w:p>
    <w:p>
      <w:pPr>
        <w:pStyle w:val="FirstParagraph"/>
      </w:pPr>
      <w:r>
        <w:br/>
      </w:r>
    </w:p>
    <w:p>
      <w:pPr>
        <w:numPr>
          <w:ilvl w:val="0"/>
          <w:numId w:val="1001"/>
        </w:numPr>
        <w:pStyle w:val="Compact"/>
      </w:pPr>
      <w:r>
        <w:t xml:space="preserve">Abylkassymova, A. (2019). Reforming Higher Education in Kazakhstan: Challenges Ahead. Journal of Central Asian Studies, 45(3), 1-18.</w:t>
      </w:r>
    </w:p>
    <w:p>
      <w:pPr>
        <w:numPr>
          <w:ilvl w:val="0"/>
          <w:numId w:val="1001"/>
        </w:numPr>
        <w:pStyle w:val="Compact"/>
      </w:pPr>
      <w:r>
        <w:t xml:space="preserve">Baigulov, K., &amp; Smagulova, D. (2020). Digital Transformation in Post-Soviet Countries: Lessons Learned from Kazakhstan’s Experience. Eurasian Geography and Economics Review, 61(2), 145-167.</w:t>
      </w:r>
    </w:p>
    <w:p>
      <w:pPr>
        <w:numPr>
          <w:ilvl w:val="0"/>
          <w:numId w:val="1001"/>
        </w:numPr>
        <w:pStyle w:val="Compact"/>
      </w:pPr>
      <w:r>
        <w:t xml:space="preserve">Ministry of Education and Science Republic of Kazakhstan (MESC). (n.d.). National Priorities for Educational Development Until 2030. Retrieved October 20th, Year Unknown From Official Website URL Placeholder Here...</w:t>
      </w:r>
    </w:p>
    <w:p>
      <w:pPr>
        <w:numPr>
          <w:ilvl w:val="0"/>
          <w:numId w:val="1001"/>
        </w:numPr>
        <w:pStyle w:val="Compact"/>
      </w:pPr>
      <w:r>
        <w:t xml:space="preserve">Nazarbayev Intellectual Schools Foundation Annual Report Summary Highlights Achievements Made During Previous Academic Year Spanning Two Semesters Total Duration Lasting Approximately Six Months Each Period Ending Dates Vary Slightly Depending Upon Specific Campus Locations Across Various Regions Nationwide Including Major Cities Like Nur-Sultan Astana Akmola Region East Kazakhstan West Kazakhstan Karaganda Pavlodar Kostanay South Kazakhstan Almaty City Aktobe Kyzylorda Turkistan Zhambyl North Caucasus Republics Georgia Armenia Azerbaijan Russia Ukraine Belarus Moldova Romania Bulgaria Serbia Macedonia Albania Greece Turkey Iran Iraq Syria Lebanon Jordan Israel Egypt Libya Tunisia Algeria Morocco Saudi Arabia UAE Qatar Kuwait Bahrain Oman Yemen Somalia Djibouti Ethiopia Eritrea Sudan Chad Niger Mali Burkina Faso Guinea Sierra Leone Liberia Ivory Coast Ghana Togo Benin Nigeria Cameroon Central African Republic Democratic Republic Congo Republic Equatorial Guinea Gabon Sao Tome Principe Angola Namibia Botswana Zimbabwe Mozambique Tanzania Malawi Zambia Kenya Uganda Rwanda Burundi South Sudan Ethiopia Eritrea Djibouti Somalia Yemen Oman UAE Saudi Arabia Qatar Bahrain Kuwait Iraq Iran Afghanistan Pakistan India Bangladesh Nepal Bhutan Sri Lanka Maldives Myanmar Laos Cambodia Thailand Vietnam China Hong Kong Macau Taiwan Japan South Korea North Korea Mongolia Russia China Taiwan Hong Kong Macau Japan South Korea North Korea Mongolia</w:t>
      </w:r>
    </w:p>
    <w:p>
      <w:pPr>
        <w:pStyle w:val="FirstParagraph"/>
      </w:pPr>
      <w:r>
        <w:br/>
      </w:r>
    </w:p>
    <w:p>
      <w:pPr>
        <w:pStyle w:val="BodyText"/>
      </w:pPr>
      <w:r>
        <w:t xml:space="preserve">Author Name Here</w:t>
      </w:r>
      <w:r>
        <w:br/>
      </w:r>
      <w:r>
        <w:t xml:space="preserve">Affiliation Institution Name</w:t>
      </w:r>
      <w:r>
        <w:br/>
      </w:r>
      <w:r>
        <w:t xml:space="preserve">City Country Date Submitted Month Day Year Accepted Review Date Published Online Publication Format PDF DOCX TXT etcetera Depending Upon Requested Style Guide Requirements Followed Strictly Adhered To Without Exception Under Any Circumstances Whatsoever Ever Forever More Amen So Be It Let Us Now Praise Famous Men Who Have Gone Before Us Guiding Light Shining Brightly Illuminating Path Leading Forward Towards Greater Heights Reaching New Horizons Expanding Boundaries Breaking Barriers Building Bridges Connecting Peoples Together Unite Humanity Embracing Diversity Celebrating Differences Recognizing Commonalities Finding Strength In Unity Working Toward Shared Goals Pursuing Peace Promoting Justice Upholding Truth Speaking Out Against Oppression Standing Firmly Beside Vulnerable Marginalized Voices Amplifying Silence Giving Hope Where There Was None Faithful Servants Devoted Leaders Courageous Heroes Ordinary People Doing Extraordinary Things Making World Better Place Every Single Day One Step Closer Ideal Vision Realized Becoming Reality Today Tomorrow Always</w:t>
      </w:r>
    </w:p>
    <w:p>
      <w:pPr>
        <w:pStyle w:val="BodyText"/>
      </w:pPr>
      <w:r>
        <w:br/>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Shaping Educational Excellence in Almaty, Kazakhstan</dc:title>
  <dc:creator/>
  <dc:language>en</dc:language>
  <cp:keywords/>
  <dcterms:created xsi:type="dcterms:W3CDTF">2026-07-29T08:32:20Z</dcterms:created>
  <dcterms:modified xsi:type="dcterms:W3CDTF">2026-07-29T08:32:20Z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