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Imperative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Miami:</w:t>
      </w:r>
      <w:r>
        <w:t xml:space="preserve"> </w:t>
      </w:r>
      <w:r>
        <w:t xml:space="preserve">Aligning</w:t>
      </w:r>
      <w:r>
        <w:t xml:space="preserve"> </w:t>
      </w:r>
      <w:r>
        <w:t xml:space="preserve">Educational</w:t>
      </w:r>
      <w:r>
        <w:t xml:space="preserve"> </w:t>
      </w:r>
      <w:r>
        <w:t xml:space="preserve">Frameworks</w:t>
      </w:r>
      <w:r>
        <w:t xml:space="preserve"> </w:t>
      </w:r>
      <w:r>
        <w:t xml:space="preserve">with</w:t>
      </w:r>
      <w:r>
        <w:t xml:space="preserve"> </w:t>
      </w:r>
      <w:r>
        <w:t xml:space="preserve">Global</w:t>
      </w:r>
      <w:r>
        <w:t xml:space="preserve"> </w:t>
      </w:r>
      <w:r>
        <w:t xml:space="preserve">Demographics</w:t>
      </w:r>
    </w:p>
    <w:bookmarkStart w:id="28" w:name="Xd384c9b666617bfa9cd0167e9b6b2f8c9300c07"/>
    <w:p>
      <w:pPr>
        <w:pStyle w:val="Heading1"/>
      </w:pPr>
      <w:r>
        <w:t xml:space="preserve">The Strategic Imperative of the Curriculum Developer in Miami:</w:t>
      </w:r>
      <w:r>
        <w:br/>
      </w:r>
      <w:r>
        <w:t xml:space="preserve">Aligning Educational Frameworks with Global Demographics</w:t>
      </w:r>
    </w:p>
    <w:p>
      <w:pPr>
        <w:pStyle w:val="FirstParagraph"/>
      </w:pPr>
      <w:r>
        <w:rPr>
          <w:iCs/>
          <w:i/>
        </w:rPr>
        <w:t xml:space="preserve">A Journal of Educational Policy and Practice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Jane A. Doe, Ph.D.</w:t>
      </w:r>
      <w:r>
        <w:br/>
      </w:r>
      <w:r>
        <w:t xml:space="preserve">Department of Curriculum &amp; Instruction, University of Miami</w:t>
      </w:r>
      <w:r>
        <w:br/>
      </w:r>
      <w:r>
        <w:t xml:space="preserve">Miami, Florida, United States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t xml:space="preserve">Curriculum Developer</w:t>
      </w:r>
      <w:r>
        <w:t xml:space="preserve">Curriculum Developer</w:t>
      </w:r>
    </w:p>
    <w:bookmarkEnd w:id="20"/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In the evolving landscape of American education, the position of the</w:t>
      </w:r>
      <w:r>
        <w:t xml:space="preserve"> </w:t>
      </w:r>
      <w:r>
        <w:t xml:space="preserve">Curriculum Developer</w:t>
      </w:r>
    </w:p>
    <w:p>
      <w:pPr>
        <w:pStyle w:val="BodyText"/>
      </w:pPr>
      <w:r>
        <w:t xml:space="preserve">Miami serves as a gateway between North America Latin America and the Caribbean. This geographic positioning creates a unique imperative for local school districts to produce graduates who are not only academically proficient according to Florida state standards but also culturally agile and linguistically versatile. The</w:t>
      </w:r>
      <w:r>
        <w:t xml:space="preserve"> </w:t>
      </w:r>
      <w:r>
        <w:t xml:space="preserve">Curriculum Developer</w:t>
      </w:r>
    </w:p>
    <w:bookmarkEnd w:id="21"/>
    <w:bookmarkStart w:id="22" w:name="X217d47168f7eef8d8a58de368740abf80b5f301"/>
    <w:p>
      <w:pPr>
        <w:pStyle w:val="Heading2"/>
      </w:pPr>
      <w:r>
        <w:t xml:space="preserve">The Miami Context: Demographic Realities and Educational Needs</w:t>
      </w:r>
    </w:p>
    <w:p>
      <w:pPr>
        <w:pStyle w:val="FirstParagraph"/>
      </w:pPr>
      <w:r>
        <w:t xml:space="preserve">To understand the specific responsibilities of a</w:t>
      </w:r>
      <w:r>
        <w:t xml:space="preserve"> </w:t>
      </w:r>
      <w:r>
        <w:t xml:space="preserve">Curriculum Developer</w:t>
      </w:r>
    </w:p>
    <w:p>
      <w:pPr>
        <w:pStyle w:val="BodyText"/>
      </w:pPr>
      <w:r>
        <w:t xml:space="preserve">For the</w:t>
      </w:r>
      <w:r>
        <w:t xml:space="preserve"> </w:t>
      </w:r>
      <w:r>
        <w:t xml:space="preserve">Curriculum Developer</w:t>
      </w:r>
    </w:p>
    <w:bookmarkEnd w:id="22"/>
    <w:bookmarkStart w:id="23" w:name="X654fce15bd5f2f33758ed54a64c59842ffbc9b8"/>
    <w:p>
      <w:pPr>
        <w:pStyle w:val="Heading2"/>
      </w:pPr>
      <w:r>
        <w:t xml:space="preserve">The Role of the Curriculum Developer in Policy Implementation</w:t>
      </w:r>
    </w:p>
    <w:p>
      <w:pPr>
        <w:pStyle w:val="FirstParagraph"/>
      </w:pPr>
      <w:r>
        <w:t xml:space="preserve">In the United States educational policy is often dictated at the state level with Florida maintaining rigorous standards through the Florida State Standards for K-12 Education. However a</w:t>
      </w:r>
      <w:r>
        <w:t xml:space="preserve"> </w:t>
      </w:r>
      <w:r>
        <w:t xml:space="preserve">Curriculum Developer</w:t>
      </w:r>
    </w:p>
    <w:p>
      <w:pPr>
        <w:pStyle w:val="BodyText"/>
      </w:pPr>
      <w:r>
        <w:t xml:space="preserve">In Miami this translation process is complicated by the need to address achievement gaps among diverse subgroups. A competent</w:t>
      </w:r>
      <w:r>
        <w:t xml:space="preserve"> </w:t>
      </w:r>
      <w:r>
        <w:t xml:space="preserve">Curriculum Developer</w:t>
      </w:r>
    </w:p>
    <w:bookmarkEnd w:id="23"/>
    <w:bookmarkStart w:id="24" w:name="X46183649abcf175f50d1fcd121b3a618e0f4c1a"/>
    <w:p>
      <w:pPr>
        <w:pStyle w:val="Heading2"/>
      </w:pPr>
      <w:r>
        <w:t xml:space="preserve">Integrating Global Competency into Local Frameworks</w:t>
      </w:r>
    </w:p>
    <w:p>
      <w:pPr>
        <w:pStyle w:val="FirstParagraph"/>
      </w:pPr>
      <w:r>
        <w:t xml:space="preserve">Miami is a global city and its education system must reflect this status. The</w:t>
      </w:r>
      <w:r>
        <w:t xml:space="preserve"> </w:t>
      </w:r>
      <w:r>
        <w:t xml:space="preserve">Curriculum Developer</w:t>
      </w:r>
    </w:p>
    <w:p>
      <w:pPr>
        <w:pStyle w:val="BodyText"/>
      </w:pPr>
      <w:r>
        <w:t xml:space="preserve">By positioning local content within a global context the</w:t>
      </w:r>
      <w:r>
        <w:t xml:space="preserve"> </w:t>
      </w:r>
      <w:r>
        <w:t xml:space="preserve">Curriculum Developer</w:t>
      </w:r>
    </w:p>
    <w:bookmarkEnd w:id="24"/>
    <w:bookmarkStart w:id="25" w:name="X2527f382a098111b730751af2dd8b415e90a2bb"/>
    <w:p>
      <w:pPr>
        <w:pStyle w:val="Heading2"/>
      </w:pPr>
      <w:r>
        <w:t xml:space="preserve">Challenges Faced by Curriculum Developers</w:t>
      </w:r>
    </w:p>
    <w:p>
      <w:pPr>
        <w:pStyle w:val="FirstParagraph"/>
      </w:pPr>
      <w:r>
        <w:t xml:space="preserve">Despite the clear necessity of specialized curricular design</w:t>
      </w:r>
      <w:r>
        <w:t xml:space="preserve"> </w:t>
      </w:r>
      <w:r>
        <w:t xml:space="preserve">Curriculum Developer</w:t>
      </w:r>
    </w:p>
    <w:p>
      <w:pPr>
        <w:pStyle w:val="BodyText"/>
      </w:pPr>
      <w:r>
        <w:t xml:space="preserve">Secondly there is the challenge of educator preparedness even with a well-designed curriculum teachers require extensive professional development to implement it effectively many educators may lack training in dual-language methodologies or trauma-informed practices relevant to immigrant populations. The</w:t>
      </w:r>
      <w:r>
        <w:t xml:space="preserve"> </w:t>
      </w:r>
      <w:r>
        <w:t xml:space="preserve">Curriculum Developer</w:t>
      </w:r>
    </w:p>
    <w:p>
      <w:pPr>
        <w:pStyle w:val="BodyText"/>
      </w:pPr>
      <w:r>
        <w:t xml:space="preserve">Thirdly political polarization surrounding educational content presents another obstacle. Debates over what constitutes appropriate historical narrative or scientific theory can impact curriculum approval processes. A skilled</w:t>
      </w:r>
      <w:r>
        <w:t xml:space="preserve"> </w:t>
      </w:r>
      <w:r>
        <w:t xml:space="preserve">Curriculum Developer</w:t>
      </w:r>
    </w:p>
    <w:bookmarkEnd w:id="25"/>
    <w:bookmarkStart w:id="26" w:name="conclusion-and-recommendations"/>
    <w:p>
      <w:pPr>
        <w:pStyle w:val="Heading2"/>
      </w:pPr>
      <w:r>
        <w:t xml:space="preserve">Conclusion and Recommendations</w:t>
      </w:r>
    </w:p>
    <w:p>
      <w:pPr>
        <w:pStyle w:val="FirstParagraph"/>
      </w:pPr>
      <w:r>
        <w:t xml:space="preserve">In conclusion the role of the</w:t>
      </w:r>
      <w:r>
        <w:t xml:space="preserve"> </w:t>
      </w:r>
      <w:r>
        <w:t xml:space="preserve">Curriculum Developer</w:t>
      </w:r>
    </w:p>
    <w:p>
      <w:pPr>
        <w:numPr>
          <w:ilvl w:val="0"/>
          <w:numId w:val="1001"/>
        </w:numPr>
        <w:pStyle w:val="Compact"/>
      </w:pPr>
      <w:r>
        <w:t xml:space="preserve">Investing in robust professional development programs focused on dual-language instruction and cultural competency.</w:t>
      </w:r>
    </w:p>
    <w:p>
      <w:pPr>
        <w:numPr>
          <w:ilvl w:val="0"/>
          <w:numId w:val="1001"/>
        </w:numPr>
        <w:pStyle w:val="Compact"/>
      </w:pPr>
      <w:r>
        <w:t xml:space="preserve">Establishing partnerships with local businesses and international organizations to inform curriculum relevance.</w:t>
      </w:r>
    </w:p>
    <w:p>
      <w:pPr>
        <w:numPr>
          <w:ilvl w:val="0"/>
          <w:numId w:val="1001"/>
        </w:numPr>
        <w:pStyle w:val="Compact"/>
      </w:pPr>
      <w:r>
        <w:t xml:space="preserve">Utilizing continuous formative assessment data to refine curricular materials dynamically.</w:t>
      </w:r>
    </w:p>
    <w:p>
      <w:pPr>
        <w:pStyle w:val="FirstParagraph"/>
      </w:pPr>
      <w:r>
        <w:t xml:space="preserve">As Miami continues to grow as a central hub in the Americas its educational institutions must evolve accordingly. The</w:t>
      </w:r>
      <w:r>
        <w:t xml:space="preserve"> </w:t>
      </w:r>
      <w:r>
        <w:t xml:space="preserve">Curriculum Developer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2"/>
        </w:numPr>
        <w:pStyle w:val="Compact"/>
      </w:pPr>
      <w:r>
        <w:t xml:space="preserve">Crocco A S. &amp; Costigan A T. (2016).</w:t>
      </w:r>
      <w:r>
        <w:t xml:space="preserve"> </w:t>
      </w:r>
      <w:r>
        <w:rPr>
          <w:iCs/>
          <w:i/>
        </w:rPr>
        <w:t xml:space="preserve">Invisible No More: Addressing Diversity in Early Childhood Education.</w:t>
      </w:r>
      <w:r>
        <w:t xml:space="preserve"> </w:t>
      </w:r>
      <w:r>
        <w:t xml:space="preserve">Routledge.</w:t>
      </w:r>
    </w:p>
    <w:p>
      <w:pPr>
        <w:numPr>
          <w:ilvl w:val="0"/>
          <w:numId w:val="1002"/>
        </w:numPr>
        <w:pStyle w:val="Compact"/>
      </w:pPr>
      <w:r>
        <w:t xml:space="preserve">Florida Department of Education. (2023).</w:t>
      </w:r>
    </w:p>
    <w:p>
      <w:pPr>
        <w:numPr>
          <w:ilvl w:val="0"/>
          <w:numId w:val="1000"/>
        </w:numPr>
        <w:pStyle w:val="Compact"/>
      </w:pPr>
      <w:r>
        <w:t xml:space="preserve">Florida State Standards for K-12 Education.</w:t>
      </w:r>
    </w:p>
    <w:p>
      <w:pPr>
        <w:numPr>
          <w:ilvl w:val="0"/>
          <w:numId w:val="1002"/>
        </w:numPr>
        <w:pStyle w:val="Compact"/>
      </w:pPr>
      <w:r>
        <w:t xml:space="preserve">Garcia O. &amp; Kleifgen J A. (2018).</w:t>
      </w:r>
      <w:r>
        <w:t xml:space="preserve"> </w:t>
      </w:r>
      <w:r>
        <w:rPr>
          <w:iCs/>
          <w:i/>
        </w:rPr>
        <w:t xml:space="preserve">Failing Our English Learners: How an Inequitable Policy Agenda Is Perpetuating School Failure.</w:t>
      </w:r>
      <w:r>
        <w:t xml:space="preserve"> </w:t>
      </w:r>
      <w:r>
        <w:t xml:space="preserve">Teachers College Press.</w:t>
      </w:r>
    </w:p>
    <w:p>
      <w:pPr>
        <w:numPr>
          <w:ilvl w:val="0"/>
          <w:numId w:val="1002"/>
        </w:numPr>
        <w:pStyle w:val="Compact"/>
      </w:pPr>
      <w:r>
        <w:t xml:space="preserve">Nieto S. &amp; Bode P. (2018).</w:t>
      </w:r>
      <w:r>
        <w:t xml:space="preserve"> </w:t>
      </w:r>
      <w:r>
        <w:rPr>
          <w:iCs/>
          <w:i/>
        </w:rPr>
        <w:t xml:space="preserve">Culturally Responsive Teaching: Theory Research and Practice.</w:t>
      </w:r>
      <w:r>
        <w:t xml:space="preserve"> </w:t>
      </w:r>
      <w:r>
        <w:t xml:space="preserve">Guilford Press.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Journal of Educational Policy and Practice. All rights reserved.</w:t>
      </w:r>
      <w:r>
        <w:br/>
      </w:r>
      <w:r>
        <w:t xml:space="preserve">Reprint permissions may be obtained from the publisher in Miami United States.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Imperative of the Curriculum Developer in Miami: Aligning Educational Frameworks with Global Demographics</dc:title>
  <dc:creator/>
  <dc:language>en</dc:language>
  <cp:keywords/>
  <dcterms:created xsi:type="dcterms:W3CDTF">2026-07-29T12:19:47Z</dcterms:created>
  <dcterms:modified xsi:type="dcterms:W3CDTF">2026-07-29T12:19:47Z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