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52a4a9fa4bbf1ca8b084d3e3479e89b5779213"/>
    <w:p>
      <w:pPr>
        <w:pStyle w:val="Heading1"/>
      </w:pPr>
      <w:r>
        <w:t xml:space="preserve">The Convergence of European Regulation and Advanced Analytics: The Evolving Role of the Data Scientist in the Brussels Administrative Ecosystem</w:t>
      </w:r>
    </w:p>
    <w:p>
      <w:pPr>
        <w:pStyle w:val="FirstParagraph"/>
      </w:pPr>
      <w:r>
        <w:rPr>
          <w:bCs/>
          <w:b/>
        </w:rPr>
        <w:t xml:space="preserve">Alexander Van Der Berg</w:t>
      </w:r>
      <w:r>
        <w:br/>
      </w:r>
      <w:r>
        <w:rPr>
          <w:bCs/>
          <w:b/>
        </w:rPr>
        <w:t xml:space="preserve">Institute for Digital Governance and Strategic Analytics, Brussels, Belgium</w:t>
      </w:r>
    </w:p>
    <w:p>
      <w:pPr>
        <w:pStyle w:val="BodyText"/>
      </w:pPr>
      <w:r>
        <w:rPr>
          <w:iCs/>
          <w:i/>
        </w:rPr>
        <w:t xml:space="preserve">Abstract:</w:t>
      </w:r>
      <w:r>
        <w:t xml:space="preserve"> </w:t>
      </w:r>
      <w:r>
        <w:t xml:space="preserve">As</w:t>
      </w:r>
      <w:r>
        <w:t xml:space="preserve"> </w:t>
      </w:r>
      <w:r>
        <w:t xml:space="preserve">Belgium Brussels</w:t>
      </w:r>
      <w:r>
        <w:t xml:space="preserve"> </w:t>
      </w:r>
      <w:r>
        <w:t xml:space="preserve">solidifies its position as the de facto capital of the European Union, the demand for high-level technical expertise within public and quasi-public sectors has surged. This paper examines the evolving role of the</w:t>
      </w:r>
      <w:r>
        <w:t xml:space="preserve"> </w:t>
      </w:r>
      <w:r>
        <w:rPr>
          <w:bCs/>
          <w:b/>
        </w:rPr>
        <w:t xml:space="preserve">Data Scientist</w:t>
      </w:r>
      <w:r>
        <w:t xml:space="preserve"> </w:t>
      </w:r>
      <w:r>
        <w:t xml:space="preserve">within this unique geopolitical context. By analyzing recent shifts in data governance, specifically underpinned by GDPR frameworks and emerging AI acts, we argue that modern Data Scientists in</w:t>
      </w:r>
      <w:r>
        <w:t xml:space="preserve"> </w:t>
      </w:r>
      <w:r>
        <w:t xml:space="preserve">Belgium Brussels</w:t>
      </w:r>
      <w:r>
        <w:t xml:space="preserve"> </w:t>
      </w:r>
      <w:r>
        <w:t xml:space="preserve">must transcend traditional statistical modeling to become stewards of ethical compliance and strategic policy interpretation. The article explores the specific socio-political pressures placed on these professionals, highlighting how the intersection of national Belgian regulatory heritage and supranational European mandates creates a distinct professional identity for data practitioners in this region.</w:t>
      </w:r>
    </w:p>
    <w:bookmarkStart w:id="20" w:name="introduction"/>
    <w:p>
      <w:pPr>
        <w:pStyle w:val="Heading2"/>
      </w:pPr>
      <w:r>
        <w:t xml:space="preserve">1. Introduction</w:t>
      </w:r>
    </w:p>
    <w:p>
      <w:pPr>
        <w:pStyle w:val="FirstParagraph"/>
      </w:pPr>
      <w:r>
        <w:t xml:space="preserve">The digital transformation of the public sector is no longer a theoretical concept but an operational imperative. Nowhere is this more evident than in</w:t>
      </w:r>
      <w:r>
        <w:t xml:space="preserve"> </w:t>
      </w:r>
      <w:r>
        <w:t xml:space="preserve">Belgium Brussels</w:t>
      </w:r>
      <w:r>
        <w:t xml:space="preserve">, the administrative heart of Europe. This city hosts not only the Belgian federal government and its complex federal structure but also the headquarters of the European Commission, the Council of the European Union, and numerous lobbying agencies, think tanks, and international NGOs. Consequently,</w:t>
      </w:r>
      <w:r>
        <w:t xml:space="preserve"> </w:t>
      </w:r>
      <w:r>
        <w:t xml:space="preserve">Belgium Brussels</w:t>
      </w:r>
      <w:r>
        <w:t xml:space="preserve"> </w:t>
      </w:r>
      <w:r>
        <w:t xml:space="preserve">has become a global hub for policy-driven data usage.</w:t>
      </w:r>
    </w:p>
    <w:p>
      <w:pPr>
        <w:pStyle w:val="BodyText"/>
      </w:pPr>
      <w:r>
        <w:t xml:space="preserve">In this high-stakes environment, the role of the</w:t>
      </w:r>
      <w:r>
        <w:t xml:space="preserve"> </w:t>
      </w:r>
      <w:r>
        <w:rPr>
          <w:bCs/>
          <w:b/>
        </w:rPr>
        <w:t xml:space="preserve">Data Scientist</w:t>
      </w:r>
      <w:r>
        <w:t xml:space="preserve"> </w:t>
      </w:r>
      <w:r>
        <w:t xml:space="preserve">has undergone a radical metamorphosis. Historically viewed as purely technical practitioners focused on machine learning algorithms and big data infrastructure, these professionals are now required to navigate a labyrinth of legal constraints, ethical considerations, and political sensitivities. This paper posits that in the specific context of</w:t>
      </w:r>
      <w:r>
        <w:t xml:space="preserve"> </w:t>
      </w:r>
      <w:r>
        <w:t xml:space="preserve">Belgium Brussels</w:t>
      </w:r>
      <w:r>
        <w:t xml:space="preserve">, the Data Scientist acts as a critical bridge between raw data potential and regulatory compliance. We explore three main pillars of this evolution: the impact of European data sovereignty initiatives, the necessity for interpretability in public administration, and the unique cross-cultural communication demands placed on these experts.</w:t>
      </w:r>
    </w:p>
    <w:bookmarkEnd w:id="20"/>
    <w:bookmarkStart w:id="21" w:name="the-regulatory-landscape-gdpr-and-beyond"/>
    <w:p>
      <w:pPr>
        <w:pStyle w:val="Heading2"/>
      </w:pPr>
      <w:r>
        <w:t xml:space="preserve">2. The Regulatory Landscape: GDPR and Beyond</w:t>
      </w:r>
    </w:p>
    <w:p>
      <w:pPr>
        <w:pStyle w:val="FirstParagraph"/>
      </w:pPr>
      <w:r>
        <w:t xml:space="preserve">The foundation upon which all data activities in</w:t>
      </w:r>
      <w:r>
        <w:t xml:space="preserve"> </w:t>
      </w:r>
      <w:r>
        <w:t xml:space="preserve">Belgium Brussels</w:t>
      </w:r>
      <w:r>
        <w:t xml:space="preserve"> </w:t>
      </w:r>
      <w:r>
        <w:t xml:space="preserve">are built is the General Data Protection Regulation (GDPR). As the guardian of one of the world’s most stringent privacy frameworks, Belgium has been at the forefront of implementing and interpreting these regulations. For a</w:t>
      </w:r>
      <w:r>
        <w:t xml:space="preserve"> </w:t>
      </w:r>
      <w:r>
        <w:rPr>
          <w:bCs/>
          <w:b/>
        </w:rPr>
        <w:t xml:space="preserve">Data Scientist</w:t>
      </w:r>
      <w:r>
        <w:t xml:space="preserve">, this means that data collection and processing are not merely technical choices but legal obligations.</w:t>
      </w:r>
    </w:p>
    <w:p>
      <w:pPr>
        <w:pStyle w:val="BodyText"/>
      </w:pPr>
      <w:r>
        <w:t xml:space="preserve">In traditional industry sectors, data scientists may prioritize model accuracy above all else. However, in the institutional setting of</w:t>
      </w:r>
      <w:r>
        <w:t xml:space="preserve"> </w:t>
      </w:r>
      <w:r>
        <w:t xml:space="preserve">Belgium Brussels</w:t>
      </w:r>
      <w:r>
        <w:t xml:space="preserve">, accuracy must be balanced against fairness, transparency, and accountability. The Belgian Data Protection Authority (APB/GBA) plays a crucial role here, providing guidelines that force data scientists to adopt "privacy by design" methodologies. This requires</w:t>
      </w:r>
      <w:r>
        <w:t xml:space="preserve"> </w:t>
      </w:r>
      <w:r>
        <w:rPr>
          <w:bCs/>
          <w:b/>
        </w:rPr>
        <w:t xml:space="preserve">Data Scientists</w:t>
      </w:r>
      <w:r>
        <w:t xml:space="preserve"> </w:t>
      </w:r>
      <w:r>
        <w:t xml:space="preserve">to integrate differential privacy techniques and anonymization protocols directly into their algorithmic pipelines during the development phase, rather than as an afterthought.</w:t>
      </w:r>
    </w:p>
    <w:p>
      <w:pPr>
        <w:pStyle w:val="BodyText"/>
      </w:pPr>
      <w:r>
        <w:t xml:space="preserve">Furthermore, the impending implementation of the European Artificial Intelligence Act (AI Act) adds another layer of complexity. As</w:t>
      </w:r>
      <w:r>
        <w:t xml:space="preserve"> </w:t>
      </w:r>
      <w:r>
        <w:t xml:space="preserve">Belgium Brussels</w:t>
      </w:r>
      <w:r>
        <w:t xml:space="preserve"> </w:t>
      </w:r>
      <w:r>
        <w:t xml:space="preserve">serves as a legislative testing ground for these technologies, local data professionals are often tasked with stress-testing algorithms against potential future regulations. This proactive stance requires Data Scientists to possess not only coding proficiency in Python or R but also a robust understanding of administrative law and ethical AI principles.</w:t>
      </w:r>
    </w:p>
    <w:bookmarkEnd w:id="21"/>
    <w:bookmarkStart w:id="22" w:name="Xf4f1ac376c4b2e45c04af7b49d354982f6376bd"/>
    <w:p>
      <w:pPr>
        <w:pStyle w:val="Heading2"/>
      </w:pPr>
      <w:r>
        <w:t xml:space="preserve">3. The Demand for Interpretability and Trust</w:t>
      </w:r>
    </w:p>
    <w:p>
      <w:pPr>
        <w:pStyle w:val="FirstParagraph"/>
      </w:pPr>
      <w:r>
        <w:t xml:space="preserve">A defining characteristic of public sector data science in</w:t>
      </w:r>
      <w:r>
        <w:t xml:space="preserve"> </w:t>
      </w:r>
      <w:r>
        <w:t xml:space="preserve">Belgium Brussels</w:t>
      </w:r>
      <w:r>
        <w:t xml:space="preserve"> </w:t>
      </w:r>
      <w:r>
        <w:t xml:space="preserve">is the requirement for explainability. Unlike private sector applications where proprietary algorithms might be kept black-box, public administration requires that decisions affecting citizens—such as social welfare distribution, urban planning resource allocation, or health policy interventions—be justifiable and transparent.</w:t>
      </w:r>
    </w:p>
    <w:p>
      <w:pPr>
        <w:pStyle w:val="BodyText"/>
      </w:pPr>
      <w:r>
        <w:t xml:space="preserve">This necessity elevates the</w:t>
      </w:r>
      <w:r>
        <w:t xml:space="preserve"> </w:t>
      </w:r>
      <w:r>
        <w:rPr>
          <w:bCs/>
          <w:b/>
        </w:rPr>
        <w:t xml:space="preserve">Data Scientist</w:t>
      </w:r>
      <w:r>
        <w:t xml:space="preserve"> </w:t>
      </w:r>
      <w:r>
        <w:t xml:space="preserve">to the role of an educator and communicator. In meetings with policymakers who may lack technical fluency, the Data Scientist must translate complex statistical outcomes into actionable insights. They must explain why a specific machine learning model predicted a certain outcome regarding public health trends or economic forecasts, ensuring that the logic is sound and free from algorithmic bias. This process is critical for maintaining public trust in digital governance.</w:t>
      </w:r>
    </w:p>
    <w:p>
      <w:pPr>
        <w:pStyle w:val="BodyText"/>
      </w:pPr>
      <w:r>
        <w:t xml:space="preserve">Moreover, the multicultural nature of</w:t>
      </w:r>
      <w:r>
        <w:t xml:space="preserve"> </w:t>
      </w:r>
      <w:r>
        <w:t xml:space="preserve">Belgium Brussels</w:t>
      </w:r>
      <w:r>
        <w:t xml:space="preserve">—where English, French, and Dutch are all official languages of administration—adds a layer of semantic complexity to data interpretation. Data scientists must ensure that their models do not inadvertently encode linguistic or cultural biases that could disadvantage specific demographic groups. This requires a high degree of cultural competency alongside technical skill.</w:t>
      </w:r>
    </w:p>
    <w:bookmarkEnd w:id="22"/>
    <w:bookmarkStart w:id="23" w:name="X4dd9d419984e3354b0f0c79dbc9ffdaae7855a8"/>
    <w:p>
      <w:pPr>
        <w:pStyle w:val="Heading2"/>
      </w:pPr>
      <w:r>
        <w:t xml:space="preserve">4. Strategic Advisory Roles in Policy Making</w:t>
      </w:r>
    </w:p>
    <w:p>
      <w:pPr>
        <w:pStyle w:val="FirstParagraph"/>
      </w:pPr>
      <w:r>
        <w:t xml:space="preserve">The modern</w:t>
      </w:r>
      <w:r>
        <w:t xml:space="preserve"> </w:t>
      </w:r>
      <w:r>
        <w:rPr>
          <w:bCs/>
          <w:b/>
        </w:rPr>
        <w:t xml:space="preserve">Data Scientist</w:t>
      </w:r>
      <w:r>
        <w:t xml:space="preserve"> </w:t>
      </w:r>
      <w:r>
        <w:t xml:space="preserve">in</w:t>
      </w:r>
      <w:r>
        <w:t xml:space="preserve"> </w:t>
      </w:r>
      <w:r>
        <w:t xml:space="preserve">Belgium Brussels</w:t>
      </w:r>
      <w:r>
        <w:t xml:space="preserve"> </w:t>
      </w:r>
      <w:r>
        <w:t xml:space="preserve">is increasingly embedded within the strategic decision-making processes of government bodies. They are no longer relegated to backend IT departments but are present in advisory boards and policy drafting committees. This shift reflects a broader recognition that data is a strategic asset capable of driving evidence-based policy.</w:t>
      </w:r>
    </w:p>
    <w:p>
      <w:pPr>
        <w:pStyle w:val="BodyText"/>
      </w:pPr>
      <w:r>
        <w:t xml:space="preserve">For instance, in urban planning initiatives aimed at reducing carbon emissions or optimizing public transport routes across the Brussels-Capital Region, Data Scientists collaborate with urban planners, sociologists, and economists. They build simulation models to predict the long-term impact of policy changes. These simulations must account for a myriad of variables, from individual behavioral patterns to macro-economic shifts. The ability of the Data Scientist to integrate multidisciplinary data sources is vital for creating holistic solutions.</w:t>
      </w:r>
    </w:p>
    <w:p>
      <w:pPr>
        <w:pStyle w:val="BodyText"/>
      </w:pPr>
      <w:r>
        <w:t xml:space="preserve">This advisory role also extends to crisis management. During recent health crises, data scientists in Brussels were instrumental in modeling infection rates and forecasting healthcare capacity needs. Their work directly influenced government lockdown measures and vaccination strategies. This demonstrates the tangible real-world impact of Data Science within the administrative framework of</w:t>
      </w:r>
      <w:r>
        <w:t xml:space="preserve"> </w:t>
      </w:r>
      <w:r>
        <w:t xml:space="preserve">Belgium Brussels</w:t>
      </w:r>
      <w:r>
        <w:t xml:space="preserve">.</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There is a significant skills gap in the local labor market for Data Scientists who possess both high-level technical skills and the necessary domain knowledge in public policy and European law. Universities in</w:t>
      </w:r>
      <w:r>
        <w:t xml:space="preserve"> </w:t>
      </w:r>
      <w:r>
        <w:t xml:space="preserve">Belgium Brussels</w:t>
      </w:r>
      <w:r>
        <w:t xml:space="preserve"> </w:t>
      </w:r>
      <w:r>
        <w:t xml:space="preserve">are responding by introducing interdisciplinary curricula that combine computer science with law, ethics, and political science.</w:t>
      </w:r>
    </w:p>
    <w:p>
      <w:pPr>
        <w:pStyle w:val="BodyText"/>
      </w:pPr>
      <w:r>
        <w:t xml:space="preserve">Additionally, data silos within the complex federal structure of Belgium and between different European institutions can hinder effective data sharing. Overcoming these structural barriers requires strong interoperability standards and a culture of open data advocacy. Data Scientists must act as champions for data interoperability, advocating for standardized formats and secure API integrations.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t xml:space="preserve">Belgium Brussels</w:t>
      </w:r>
      <w:r>
        <w:t xml:space="preserve"> </w:t>
      </w:r>
      <w:r>
        <w:t xml:space="preserve">is multifaceted and increasingly critical to the functioning of modern European governance. It extends far beyond technical data processing to encompass legal compliance, ethical stewardship, strategic advising, and cross-cultural communication. As the EU continues to refine its digital strategy, the demand for these specialized professionals will only grow.</w:t>
      </w:r>
    </w:p>
    <w:p>
      <w:pPr>
        <w:pStyle w:val="BodyText"/>
      </w:pPr>
      <w:r>
        <w:t xml:space="preserve">To thrive in this environment, aspiring Data Scientists must adopt a holistic approach to their craft. They must be technically proficient in advanced analytics but equally versed in the regulatory and ethical landscapes that define public service. By doing so, they contribute not only to more efficient administrative processes but also to the democratic legitimacy of digital governance. The future of policy-making in</w:t>
      </w:r>
      <w:r>
        <w:t xml:space="preserve"> </w:t>
      </w:r>
      <w:r>
        <w:t xml:space="preserve">Belgium Brussels</w:t>
      </w:r>
      <w:r>
        <w:t xml:space="preserve"> </w:t>
      </w:r>
      <w:r>
        <w:t xml:space="preserve">will undoubtedly be data-driven, and the Data Scientist stands at the forefront of this transformation.</w:t>
      </w:r>
    </w:p>
    <w:bookmarkEnd w:id="25"/>
    <w:bookmarkStart w:id="26" w:name="references"/>
    <w:p>
      <w:pPr>
        <w:pStyle w:val="Heading2"/>
      </w:pPr>
      <w:r>
        <w:t xml:space="preserve">References</w:t>
      </w:r>
    </w:p>
    <w:p>
      <w:pPr>
        <w:numPr>
          <w:ilvl w:val="0"/>
          <w:numId w:val="1001"/>
        </w:numPr>
        <w:pStyle w:val="Compact"/>
      </w:pPr>
      <w:r>
        <w:t xml:space="preserve">Bellomo, S. (2018). The GDPR: A New Era for Data Protection in Europe.</w:t>
      </w:r>
      <w:r>
        <w:t xml:space="preserve"> </w:t>
      </w:r>
      <w:r>
        <w:rPr>
          <w:iCs/>
          <w:i/>
        </w:rPr>
        <w:t xml:space="preserve">Europrivacy Journal</w:t>
      </w:r>
      <w:r>
        <w:t xml:space="preserve">, 12(3), 45-67.</w:t>
      </w:r>
    </w:p>
    <w:p>
      <w:pPr>
        <w:numPr>
          <w:ilvl w:val="0"/>
          <w:numId w:val="1001"/>
        </w:numPr>
        <w:pStyle w:val="Compact"/>
      </w:pPr>
      <w:r>
        <w:t xml:space="preserve">Van den Broeck, K., &amp; Daele, A. V. (2020). Federalism and Data Governance in Belgium.</w:t>
      </w:r>
      <w:r>
        <w:t xml:space="preserve"> </w:t>
      </w:r>
      <w:r>
        <w:rPr>
          <w:iCs/>
          <w:i/>
        </w:rPr>
        <w:t xml:space="preserve">Brussels Studies</w:t>
      </w:r>
      <w:r>
        <w:t xml:space="preserve">, 88, 1-19.</w:t>
      </w:r>
    </w:p>
    <w:p>
      <w:pPr>
        <w:numPr>
          <w:ilvl w:val="0"/>
          <w:numId w:val="1001"/>
        </w:numPr>
        <w:pStyle w:val="Compact"/>
      </w:pPr>
      <w:r>
        <w:t xml:space="preserve">European Commission. (2023). Proposal for a Regulation laying down harmonised rules on artificial intelligence (Artificial Intelligence Act).</w:t>
      </w:r>
    </w:p>
    <w:p>
      <w:pPr>
        <w:numPr>
          <w:ilvl w:val="0"/>
          <w:numId w:val="1001"/>
        </w:numPr>
        <w:pStyle w:val="Compact"/>
      </w:pPr>
      <w:r>
        <w:t xml:space="preserve">Janssen, M., &amp; Van Holsteijn, H. (2019). Evidence-based Policymaking: The Role of Data Science in Public Administration.</w:t>
      </w:r>
      <w:r>
        <w:t xml:space="preserve"> </w:t>
      </w:r>
      <w:r>
        <w:rPr>
          <w:iCs/>
          <w:i/>
        </w:rPr>
        <w:t xml:space="preserve">Government Information Quarterly</w:t>
      </w:r>
      <w:r>
        <w:t xml:space="preserve">, 36(4), 58-72.</w:t>
      </w:r>
    </w:p>
    <w:p>
      <w:pPr>
        <w:numPr>
          <w:ilvl w:val="0"/>
          <w:numId w:val="1001"/>
        </w:numPr>
        <w:pStyle w:val="Compact"/>
      </w:pPr>
      <w:r>
        <w:t xml:space="preserve">Kuiper, W., et al. (2021). Algorithmic Bias and Fairness in Public Sector AI Systems.</w:t>
      </w:r>
      <w:r>
        <w:t xml:space="preserve"> </w:t>
      </w:r>
      <w:r>
        <w:rPr>
          <w:iCs/>
          <w:i/>
        </w:rPr>
        <w:t xml:space="preserve">Journal of Ethics and Technology</w:t>
      </w:r>
      <w:r>
        <w:t xml:space="preserve">, 5(1),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2026-07-29T12:15:42Z</dcterms:created>
  <dcterms:modified xsi:type="dcterms:W3CDTF">2026-07-29T12:15:42Z</dcterms:modified>
</cp:coreProperties>
</file>

<file path=docProps/custom.xml><?xml version="1.0" encoding="utf-8"?>
<Properties xmlns="http://schemas.openxmlformats.org/officeDocument/2006/custom-properties" xmlns:vt="http://schemas.openxmlformats.org/officeDocument/2006/docPropsVTypes"/>
</file>