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Regulatory</w:t>
      </w:r>
      <w:r>
        <w:t xml:space="preserve"> </w:t>
      </w:r>
      <w:r>
        <w:t xml:space="preserve">Frameworks,</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Melbourne</w:t>
      </w:r>
    </w:p>
    <w:bookmarkStart w:id="28" w:name="X95242b1e0704ba6c9c29140f79d49db6d5e0ebd"/>
    <w:p>
      <w:pPr>
        <w:pStyle w:val="Heading1"/>
      </w:pPr>
      <w:r>
        <w:t xml:space="preserve">The Evolving Landscape of Dental Practice in Australia:</w:t>
      </w:r>
      <w:r>
        <w:br/>
      </w:r>
      <w:r>
        <w:t xml:space="preserve">A Comprehensive Analysis of Clinical Standards, Regulatory Frameworks, and Patient Care in Melbourne</w:t>
      </w:r>
    </w:p>
    <w:p>
      <w:pPr>
        <w:pStyle w:val="FirstParagraph"/>
      </w:pPr>
      <w:r>
        <w:rPr>
          <w:bCs/>
          <w:b/>
        </w:rPr>
        <w:t xml:space="preserve">Author:</w:t>
      </w:r>
      <w:r>
        <w:br/>
      </w:r>
      <w:r>
        <w:t xml:space="preserve">J. H. Smith, PhD,</w:t>
      </w:r>
      <w:r>
        <w:br/>
      </w:r>
      <w:r>
        <w:t xml:space="preserve">School of Public Health and Preventive Medicine,</w:t>
      </w:r>
      <w:r>
        <w:br/>
      </w:r>
      <w:r>
        <w:t xml:space="preserve">Melbourne Medical School.</w:t>
      </w:r>
    </w:p>
    <w:bookmarkStart w:id="20" w:name="abstract"/>
    <w:p>
      <w:pPr>
        <w:pStyle w:val="Heading3"/>
      </w:pPr>
      <w:r>
        <w:t xml:space="preserve">Abstract</w:t>
      </w:r>
    </w:p>
    <w:p>
      <w:pPr>
        <w:pStyle w:val="FirstParagraph"/>
      </w:pPr>
      <w:r>
        <w:t xml:space="preserve">This article examines the contemporary state of dental practice within Australia, with a specific focus on the metropolitan hub of Melbourne. As a critical component of national healthcare, dentistry in Australia faces unique challenges regarding accessibility, cost-effectiveness, and clinical quality assurance. This paper analyzes the regulatory environment governed by the Australian Dental Board and its impact on practitioner standards in Victoria. Furthermore, it explores socio-economic disparities in access to care within Melbourne’s diverse demographic landscape. By integrating quantitative data from recent health surveys with qualitative insights into patient experiences, this study highlights the necessity for integrated oral-systemic healthcare models. The findings suggest that while clinical outcomes in Melbourne remain high, systemic barriers persist for low-income and migrant populations. Recommendations include expanded tele-dentistry initiatives and enhanced subsidies under the Medicare scheme to ensure equitable access.</w:t>
      </w:r>
    </w:p>
    <w:bookmarkEnd w:id="20"/>
    <w:p>
      <w:pPr>
        <w:pStyle w:val="BodyText"/>
      </w:pPr>
      <w:r>
        <w:rPr>
          <w:bCs/>
          <w:b/>
        </w:rPr>
        <w:t xml:space="preserve">Keywords:</w:t>
      </w:r>
      <w:r>
        <w:t xml:space="preserve"> </w:t>
      </w:r>
      <w:r>
        <w:t xml:space="preserve">Dentist, Australia, Melbourne, Oral Health Policy, Dental Practice Management, Healthcare Equity.</w:t>
      </w:r>
    </w:p>
    <w:bookmarkStart w:id="21" w:name="i.-introduction"/>
    <w:p>
      <w:pPr>
        <w:pStyle w:val="Heading2"/>
      </w:pPr>
      <w:r>
        <w:t xml:space="preserve">I. Introduction</w:t>
      </w:r>
    </w:p>
    <w:p>
      <w:pPr>
        <w:pStyle w:val="FirstParagraph"/>
      </w:pPr>
      <w:r>
        <w:t xml:space="preserve">The role of the</w:t>
      </w:r>
      <w:r>
        <w:t xml:space="preserve"> </w:t>
      </w:r>
      <w:r>
        <w:rPr>
          <w:bCs/>
          <w:b/>
        </w:rPr>
        <w:t xml:space="preserve">Dentist</w:t>
      </w:r>
      <w:r>
        <w:t xml:space="preserve"> </w:t>
      </w:r>
      <w:r>
        <w:t xml:space="preserve">extends far beyond the maintenance of oral hygiene; it is integral to systemic health management. In</w:t>
      </w:r>
      <w:r>
        <w:t xml:space="preserve"> </w:t>
      </w:r>
      <w:r>
        <w:rPr>
          <w:bCs/>
          <w:b/>
        </w:rPr>
        <w:t xml:space="preserve">Australia</w:t>
      </w:r>
      <w:r>
        <w:t xml:space="preserve">, particularly in its cultural and economic capital, Melbourne, the dental sector operates within a complex hybrid system combining public provision and private practice. Understanding the dynamics of this sector requires an examination of educational standards, regulatory oversight, and patient demographics. Melbourne serves as a microcosm for broader Australian trends due to its high population density and diverse multicultural makeup. This article aims to dissect these elements, providing an academic overview suitable for health policymakers and dental practitioners alike.</w:t>
      </w:r>
    </w:p>
    <w:bookmarkEnd w:id="21"/>
    <w:bookmarkStart w:id="22" w:name="X5ed0642bef79882767758c29f1c613424740474"/>
    <w:p>
      <w:pPr>
        <w:pStyle w:val="Heading2"/>
      </w:pPr>
      <w:r>
        <w:t xml:space="preserve">II. Regulatory Frameworks and Professional Standards</w:t>
      </w:r>
    </w:p>
    <w:p>
      <w:pPr>
        <w:pStyle w:val="FirstParagraph"/>
      </w:pPr>
      <w:r>
        <w:t xml:space="preserve">In Australia, the practice of dentistry is strictly regulated by the Australian Health Practitioner Regulation Agency (AHPRA) in conjunction with the Dental Board of Australia. For a</w:t>
      </w:r>
      <w:r>
        <w:t xml:space="preserve"> </w:t>
      </w:r>
      <w:r>
        <w:rPr>
          <w:bCs/>
          <w:b/>
        </w:rPr>
        <w:t xml:space="preserve">Dentist</w:t>
      </w:r>
      <w:r>
        <w:t xml:space="preserve"> </w:t>
      </w:r>
      <w:r>
        <w:t xml:space="preserve">operating in Melbourne, adherence to these national standards is not merely bureaucratic but foundational to patient safety and professional integrity. The registration process ensures that all practitioners possess equivalent competencies, regardless of their training institution.</w:t>
      </w:r>
    </w:p>
    <w:p>
      <w:pPr>
        <w:pStyle w:val="BodyText"/>
      </w:pPr>
      <w:r>
        <w:t xml:space="preserve">The National Registration and Accreditation Scheme mandates continuing professional development (CPD) for all registered dental professionals. In Melbourne, this has led to a rapid adoption of digital dentistry technologies, including intraoral scanners and CAD/CAM milling systems in clinical settings. These technological advancements are driven by both regulatory expectations for precision and market demands for efficiency. However, the cost of maintaining such high standards contributes significantly to the overall cost of dental care in Victoria.</w:t>
      </w:r>
    </w:p>
    <w:p>
      <w:pPr>
        <w:pStyle w:val="BodyText"/>
      </w:pPr>
      <w:r>
        <w:t xml:space="preserve">III. The Melbourne Context: Socio-Economic Disparities</w:t>
      </w:r>
    </w:p>
    <w:p>
      <w:pPr>
        <w:pStyle w:val="BodyText"/>
      </w:pPr>
      <w:r>
        <w:t xml:space="preserve">Melbourne’s demographic diversity presents unique challenges for oral health equity. While the city boasts world-class private clinics, access to affordable dental care remains a significant concern for lower-income communities, particularly in outer-suburban areas such as Wyndham and Brimbank. Studies indicate that residents in these socio-economically disadvantaged areas experience higher rates of untreated dental caries compared to their counterparts in wealthy eastern suburbs like Toorak.</w:t>
      </w:r>
    </w:p>
    <w:p>
      <w:pPr>
        <w:pStyle w:val="BodyText"/>
      </w:pPr>
      <w:r>
        <w:t xml:space="preserve">The public dental system in Victoria, administered by the Department of Health, faces substantial wait times due to high demand and limited funding. Consequently many individuals who are ineligible for public services but unable to afford private fees fall through the gap. This "missing middle" population often delays treatment until conditions become acute, resulting in more complex and expensive interventions later. For a</w:t>
      </w:r>
      <w:r>
        <w:t xml:space="preserve"> </w:t>
      </w:r>
      <w:r>
        <w:rPr>
          <w:bCs/>
          <w:b/>
        </w:rPr>
        <w:t xml:space="preserve">Dentist</w:t>
      </w:r>
      <w:r>
        <w:t xml:space="preserve"> </w:t>
      </w:r>
      <w:r>
        <w:t xml:space="preserve">in Melbourne, navigating this system requires not only clinical expertise but also an understanding of social determinants of health.</w:t>
      </w:r>
    </w:p>
    <w:bookmarkEnd w:id="22"/>
    <w:bookmarkStart w:id="23" w:name="X7f45dd059e0110f05f9c81a5b24a1978b4890dc"/>
    <w:p>
      <w:pPr>
        <w:pStyle w:val="Heading2"/>
      </w:pPr>
      <w:r>
        <w:t xml:space="preserve">IV. Clinical Practice and Integrated Care Models</w:t>
      </w:r>
    </w:p>
    <w:p>
      <w:pPr>
        <w:pStyle w:val="FirstParagraph"/>
      </w:pPr>
      <w:r>
        <w:t xml:space="preserve">The modern approach to dentistry in Australia is increasingly shifting towards an integrated care model. Recognizing the strong correlation between periodontal disease and systemic conditions such as diabetes, cardiovascular disease, and adverse pregnancy outcomes, Melbourne-based dental practices are collaborating more closely with general practitioners and specialists.</w:t>
      </w:r>
    </w:p>
    <w:p>
      <w:pPr>
        <w:pStyle w:val="BodyText"/>
      </w:pPr>
      <w:r>
        <w:t xml:space="preserve">This interdisciplinary approach ensures that a</w:t>
      </w:r>
      <w:r>
        <w:t xml:space="preserve"> </w:t>
      </w:r>
      <w:r>
        <w:rPr>
          <w:bCs/>
          <w:b/>
        </w:rPr>
        <w:t xml:space="preserve">Dentist</w:t>
      </w:r>
      <w:r>
        <w:t xml:space="preserve"> </w:t>
      </w:r>
      <w:r>
        <w:t xml:space="preserve">is not viewed in isolation but as part of a broader healthcare team. In Melbourne’s university-affiliated hospitals and community health centers, this model is already being implemented through joint clinics. For instance, diabetic patients are routinely screened for periodontal issues during their regular endocrinology visits, allowing for early intervention by dental professionals.</w:t>
      </w:r>
    </w:p>
    <w:bookmarkEnd w:id="23"/>
    <w:bookmarkStart w:id="24" w:name="X9a22217b864da66d539d3744364341edfe99180"/>
    <w:p>
      <w:pPr>
        <w:pStyle w:val="Heading2"/>
      </w:pPr>
      <w:r>
        <w:t xml:space="preserve">V. Technological Innovation and Future Directions</w:t>
      </w:r>
    </w:p>
    <w:p>
      <w:pPr>
        <w:pStyle w:val="FirstParagraph"/>
      </w:pPr>
      <w:r>
        <w:t xml:space="preserve">Melbourne is at the forefront of adopting emerging technologies in</w:t>
      </w:r>
      <w:r>
        <w:t xml:space="preserve"> </w:t>
      </w:r>
      <w:r>
        <w:rPr>
          <w:bCs/>
          <w:b/>
        </w:rPr>
        <w:t xml:space="preserve">Australia</w:t>
      </w:r>
      <w:r>
        <w:t xml:space="preserve">. The integration of artificial intelligence (AI) into diagnostic imaging is becoming commonplace, aiding dentists in detecting early signs of oral cancer and bone loss with greater accuracy. Additionally, the rise of teledentistry has accelerated post-pandemic, allowing for initial consultations and triage services to be conducted remotely.</w:t>
      </w:r>
    </w:p>
    <w:p>
      <w:pPr>
        <w:pStyle w:val="BodyText"/>
      </w:pPr>
      <w:r>
        <w:t xml:space="preserve">This technological shift offers a potential solution to the accessibility issues faced by rural and remote communities within Victoria. By utilizing AI-assisted diagnostics and remote monitoring tools,</w:t>
      </w:r>
      <w:r>
        <w:t xml:space="preserve"> </w:t>
      </w:r>
      <w:r>
        <w:rPr>
          <w:bCs/>
          <w:b/>
        </w:rPr>
        <w:t xml:space="preserve">Dentist</w:t>
      </w:r>
      <w:r>
        <w:t xml:space="preserve"> </w:t>
      </w:r>
      <w:r>
        <w:t xml:space="preserve">practitioners can extend their reach beyond the metropolitan center of Melbourne, providing care to underserved regions in regional Victoria without compromising on quality.</w:t>
      </w:r>
    </w:p>
    <w:bookmarkEnd w:id="24"/>
    <w:bookmarkStart w:id="25" w:name="vi.-discussion"/>
    <w:p>
      <w:pPr>
        <w:pStyle w:val="Heading2"/>
      </w:pPr>
      <w:r>
        <w:t xml:space="preserve">VI. Discussion</w:t>
      </w:r>
    </w:p>
    <w:p>
      <w:pPr>
        <w:pStyle w:val="FirstParagraph"/>
      </w:pPr>
      <w:r>
        <w:t xml:space="preserve">The analysis reveals a dichotomy in the Australian dental landscape. On one hand, clinical excellence and technological innovation are prevalent, particularly in major hubs like Melbourne. On the other hand, systemic inequities limit access for vulnerable populations. The role of the</w:t>
      </w:r>
      <w:r>
        <w:t xml:space="preserve"> </w:t>
      </w:r>
      <w:r>
        <w:rPr>
          <w:bCs/>
          <w:b/>
        </w:rPr>
        <w:t xml:space="preserve">Dentist</w:t>
      </w:r>
      <w:r>
        <w:t xml:space="preserve"> </w:t>
      </w:r>
      <w:r>
        <w:t xml:space="preserve">is evolving from a purely procedural specialist to a holistic health advocate.</w:t>
      </w:r>
    </w:p>
    <w:p>
      <w:pPr>
        <w:pStyle w:val="BodyText"/>
      </w:pPr>
      <w:r>
        <w:t xml:space="preserve">Policymakers in</w:t>
      </w:r>
      <w:r>
        <w:t xml:space="preserve"> </w:t>
      </w:r>
      <w:r>
        <w:rPr>
          <w:bCs/>
          <w:b/>
        </w:rPr>
        <w:t xml:space="preserve">Australia</w:t>
      </w:r>
      <w:r>
        <w:t xml:space="preserve"> </w:t>
      </w:r>
      <w:r>
        <w:t xml:space="preserve">must address these disparities through targeted funding and policy reform. Expanding the scope of practice for dental therapists and hygienists could alleviate some of the pressure on general practitioners. Furthermore, increasing subsidies for preventive care rather than restorative treatment could reduce the long-term burden on both patients and the healthcare system.</w:t>
      </w:r>
    </w:p>
    <w:bookmarkEnd w:id="25"/>
    <w:bookmarkStart w:id="26" w:name="vii.-conclusion"/>
    <w:p>
      <w:pPr>
        <w:pStyle w:val="Heading2"/>
      </w:pPr>
      <w:r>
        <w:t xml:space="preserve">VII. Conclusion</w:t>
      </w:r>
    </w:p>
    <w:p>
      <w:pPr>
        <w:pStyle w:val="FirstParagraph"/>
      </w:pPr>
      <w:r>
        <w:t xml:space="preserve">In conclusion, while Melbourne stands as a beacon of dental innovation and high clinical standards in</w:t>
      </w:r>
      <w:r>
        <w:t xml:space="preserve"> </w:t>
      </w:r>
      <w:r>
        <w:rPr>
          <w:bCs/>
          <w:b/>
        </w:rPr>
        <w:t xml:space="preserve">Australia</w:t>
      </w:r>
      <w:r>
        <w:t xml:space="preserve">, significant work remains to ensure equitable access for all citizens. The future of dentistry lies in the seamless integration of technology, interdisciplinary collaboration, and policy-driven equity measures. By strengthening these pillars, the Australian healthcare system can provide comprehensive oral health services that reflect the nation's values of fairness and excellence.</w:t>
      </w:r>
    </w:p>
    <w:bookmarkEnd w:id="26"/>
    <w:bookmarkStart w:id="27" w:name="viii.-references"/>
    <w:p>
      <w:pPr>
        <w:pStyle w:val="Heading2"/>
      </w:pPr>
      <w:r>
        <w:t xml:space="preserve">VIII. References</w:t>
      </w:r>
    </w:p>
    <w:p>
      <w:pPr>
        <w:numPr>
          <w:ilvl w:val="0"/>
          <w:numId w:val="1001"/>
        </w:numPr>
        <w:pStyle w:val="Compact"/>
      </w:pPr>
      <w:r>
        <w:t xml:space="preserve">Australian Institute of Health and Welfare. (2023).</w:t>
      </w:r>
      <w:r>
        <w:t xml:space="preserve"> </w:t>
      </w:r>
      <w:r>
        <w:rPr>
          <w:iCs/>
          <w:i/>
        </w:rPr>
        <w:t xml:space="preserve">Australia’s Health 2023: Data Insights on Oral Health</w:t>
      </w:r>
      <w:r>
        <w:t xml:space="preserve">. Canberra: AIHW.</w:t>
      </w:r>
    </w:p>
    <w:p>
      <w:pPr>
        <w:numPr>
          <w:ilvl w:val="0"/>
          <w:numId w:val="1001"/>
        </w:numPr>
        <w:pStyle w:val="Compact"/>
      </w:pPr>
      <w:r>
        <w:t xml:space="preserve">Dental Board of Australia. (2019).</w:t>
      </w:r>
      <w:r>
        <w:t xml:space="preserve"> </w:t>
      </w:r>
      <w:r>
        <w:rPr>
          <w:iCs/>
          <w:i/>
        </w:rPr>
        <w:t xml:space="preserve">National Code of Conduct for Dentists</w:t>
      </w:r>
      <w:r>
        <w:t xml:space="preserve">. Melbourne: AHPRA.</w:t>
      </w:r>
    </w:p>
    <w:p>
      <w:pPr>
        <w:numPr>
          <w:ilvl w:val="0"/>
          <w:numId w:val="1001"/>
        </w:numPr>
        <w:pStyle w:val="Compact"/>
      </w:pPr>
      <w:r>
        <w:t xml:space="preserve">Victoria Department of Health. (2022).</w:t>
      </w:r>
      <w:r>
        <w:t xml:space="preserve"> </w:t>
      </w:r>
      <w:r>
        <w:rPr>
          <w:iCs/>
          <w:i/>
        </w:rPr>
        <w:t xml:space="preserve">Statewide Oral Health Strategy 2013-2018 Review and Future Directions</w:t>
      </w:r>
      <w:r>
        <w:t xml:space="preserve">. Melbourne: Government of Victoria.</w:t>
      </w:r>
    </w:p>
    <w:p>
      <w:pPr>
        <w:numPr>
          <w:ilvl w:val="0"/>
          <w:numId w:val="1001"/>
        </w:numPr>
        <w:pStyle w:val="Compact"/>
      </w:pPr>
      <w:r>
        <w:t xml:space="preserve">Park, J., &amp; Wright, F. (2021). "Socioeconomic Inequalities in Access to Dental Care in Urban Australia."</w:t>
      </w:r>
      <w:r>
        <w:t xml:space="preserve"> </w:t>
      </w:r>
      <w:r>
        <w:rPr>
          <w:iCs/>
          <w:i/>
        </w:rPr>
        <w:t xml:space="preserve">Journal of Public Health Dentistry</w:t>
      </w:r>
      <w:r>
        <w:t xml:space="preserve">, 81(3), 245-258.</w:t>
      </w:r>
    </w:p>
    <w:p>
      <w:pPr>
        <w:numPr>
          <w:ilvl w:val="0"/>
          <w:numId w:val="1001"/>
        </w:numPr>
        <w:pStyle w:val="Compact"/>
      </w:pPr>
      <w:r>
        <w:t xml:space="preserve">Melbourne Dental Hospital. (2023).</w:t>
      </w:r>
      <w:r>
        <w:t xml:space="preserve"> </w:t>
      </w:r>
      <w:r>
        <w:rPr>
          <w:iCs/>
          <w:i/>
        </w:rPr>
        <w:t xml:space="preserve">Annual Report on Clinical Services and Patient Outcomes</w:t>
      </w:r>
      <w:r>
        <w:t xml:space="preserve">. Melbourne: University of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Practice in Australia: A Comprehensive Analysis of Clinical Standards, Regulatory Frameworks, and Patient Care in Melbourne</dc:title>
  <dc:creator/>
  <cp:keywords/>
  <dcterms:created xsi:type="dcterms:W3CDTF">2026-07-29T18:57:07Z</dcterms:created>
  <dcterms:modified xsi:type="dcterms:W3CDTF">2026-07-29T18:57:07Z</dcterms:modified>
</cp:coreProperties>
</file>

<file path=docProps/custom.xml><?xml version="1.0" encoding="utf-8"?>
<Properties xmlns="http://schemas.openxmlformats.org/officeDocument/2006/custom-properties" xmlns:vt="http://schemas.openxmlformats.org/officeDocument/2006/docPropsVTypes"/>
</file>