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a</w:t>
      </w:r>
      <w:r>
        <w:t xml:space="preserve"> </w:t>
      </w:r>
      <w:r>
        <w:t xml:space="preserve">Modern</w:t>
      </w:r>
      <w:r>
        <w:t xml:space="preserve"> </w:t>
      </w:r>
      <w:r>
        <w:t xml:space="preserve">Metropolis: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Frankfurt</w:t>
      </w:r>
      <w:r>
        <w:t xml:space="preserve"> </w:t>
      </w:r>
      <w:r>
        <w:t xml:space="preserve">am</w:t>
      </w:r>
      <w:r>
        <w:t xml:space="preserve"> </w:t>
      </w:r>
      <w:r>
        <w:t xml:space="preserve">Main,</w:t>
      </w:r>
      <w:r>
        <w:t xml:space="preserve"> </w:t>
      </w:r>
      <w:r>
        <w:t xml:space="preserve">Germany</w:t>
      </w:r>
    </w:p>
    <w:bookmarkStart w:id="29" w:name="Xa7822d5aa851669138c74db6e4abd1e75238ad3"/>
    <w:p>
      <w:pPr>
        <w:pStyle w:val="Heading1"/>
      </w:pPr>
      <w:r>
        <w:t xml:space="preserve">The Evolution and Integration of Dental Practice in a Modern Metropolis: A Case Study of Frankfurt am Main, Germany</w:t>
      </w:r>
    </w:p>
    <w:p>
      <w:pPr>
        <w:pStyle w:val="FirstParagraph"/>
      </w:pPr>
      <w:r>
        <w:rPr>
          <w:iCs/>
          <w:i/>
          <w:bCs/>
          <w:b/>
        </w:rPr>
        <w:t xml:space="preserve">Alexander M. Weber</w:t>
      </w:r>
      <w:r>
        <w:rPr>
          <w:vertAlign w:val="superscript"/>
          <w:iCs/>
          <w:i/>
          <w:bCs/>
          <w:b/>
        </w:rPr>
        <w:t xml:space="preserve">1</w:t>
      </w:r>
      <w:r>
        <w:rPr>
          <w:iCs/>
          <w:i/>
          <w:bCs/>
          <w:b/>
        </w:rPr>
        <w:t xml:space="preserve">, Dr. Elena Fischer</w:t>
      </w:r>
      <w:r>
        <w:rPr>
          <w:vertAlign w:val="superscript"/>
          <w:iCs/>
          <w:i/>
          <w:bCs/>
          <w:b/>
        </w:rPr>
        <w:t xml:space="preserve">2</w:t>
      </w:r>
    </w:p>
    <w:p>
      <w:pPr>
        <w:pStyle w:val="BodyText"/>
      </w:pPr>
      <w:r>
        <w:rPr>
          <w:vertAlign w:val="superscript"/>
        </w:rPr>
        <w:t xml:space="preserve">1</w:t>
      </w:r>
      <w:r>
        <w:t xml:space="preserve">Institute for Health Economics, Goethe University Frankfurt</w:t>
      </w:r>
      <w:r>
        <w:br/>
      </w:r>
      <w:r>
        <w:rPr>
          <w:vertAlign w:val="subscript"/>
        </w:rPr>
        <w:t xml:space="preserve">2</w:t>
      </w:r>
      <w:r>
        <w:t xml:space="preserve">Dental Department, University Hospital Frankfurt am Main</w:t>
      </w:r>
    </w:p>
    <w:bookmarkStart w:id="20" w:name="abstract"/>
    <w:p>
      <w:pPr>
        <w:pStyle w:val="Heading3"/>
      </w:pPr>
      <w:r>
        <w:t xml:space="preserve">Abstract</w:t>
      </w:r>
    </w:p>
    <w:p>
      <w:pPr>
        <w:pStyle w:val="FirstParagraph"/>
      </w:pPr>
      <w:r>
        <w:t xml:space="preserve">This article examines the contemporary landscape of dental practice within the specific socio-economic and regulatory context of Germany, with a particular focus on the city of Frankfurt. As a major financial hub and international gateway, Frankfurt presents unique challenges and opportunities for dental professionals. This study analyzes the intersection of traditional German oral health care standards with modern technological advancements, demographic shifts, and international patient influxes. By evaluating clinical protocols, business models of</w:t>
      </w:r>
      <w:r>
        <w:t xml:space="preserve"> </w:t>
      </w:r>
      <w:r>
        <w:rPr>
          <w:bCs/>
          <w:b/>
        </w:rPr>
        <w:t xml:space="preserve">Dentist</w:t>
      </w:r>
      <w:r>
        <w:t xml:space="preserve"> </w:t>
      </w:r>
      <w:r>
        <w:t xml:space="preserve">practices in this region, we highlight how local regulations intersect with global medical trends. The findings suggest that while the foundational principles of dental care in</w:t>
      </w:r>
      <w:r>
        <w:t xml:space="preserve"> </w:t>
      </w:r>
      <w:r>
        <w:rPr>
          <w:bCs/>
          <w:b/>
        </w:rPr>
        <w:t xml:space="preserve">Germany</w:t>
      </w:r>
      <w:r>
        <w:t xml:space="preserve"> </w:t>
      </w:r>
      <w:r>
        <w:t xml:space="preserve">remain robustly regulated through statutory health insurance frameworks, the specific dynamics of</w:t>
      </w:r>
      <w:r>
        <w:t xml:space="preserve"> </w:t>
      </w:r>
      <w:r>
        <w:rPr>
          <w:bCs/>
          <w:b/>
        </w:rPr>
        <w:t xml:space="preserve">Frankfurt am Main</w:t>
      </w:r>
      <w:r>
        <w:t xml:space="preserve"> </w:t>
      </w:r>
      <w:r>
        <w:t xml:space="preserve">require a more adaptive, internationalized approach to patient management and service delivery.</w:t>
      </w:r>
    </w:p>
    <w:bookmarkEnd w:id="20"/>
    <w:p>
      <w:pPr>
        <w:pStyle w:val="BodyText"/>
      </w:pPr>
      <w:r>
        <w:rPr>
          <w:bCs/>
          <w:b/>
          <w:iCs/>
          <w:i/>
        </w:rPr>
        <w:t xml:space="preserve"> </w:t>
      </w:r>
    </w:p>
    <w:bookmarkStart w:id="21" w:name="X5fc3773e4720d0d577dc449e2fbd4bc971c7f91"/>
    <w:p>
      <w:pPr>
        <w:pStyle w:val="Heading3"/>
      </w:pPr>
      <w:r>
        <w:rPr>
          <w:u w:val="single"/>
        </w:rPr>
        <w:t xml:space="preserve">K</w:t>
      </w:r>
      <w:r>
        <w:rPr>
          <w:iCs/>
          <w:i/>
          <w:u w:val="single"/>
        </w:rPr>
        <w:t xml:space="preserve">b</w:t>
      </w:r>
      <w:r>
        <w:rPr>
          <w:u w:val="single"/>
        </w:rPr>
        <w:t xml:space="preserve">eys:</w:t>
      </w:r>
      <w:r>
        <w:t xml:space="preserve">Dentist, Germany Frankfurt, Oral Health Policy, International Healthcare Integration.</w:t>
      </w:r>
    </w:p>
    <w:bookmarkEnd w:id="21"/>
    <w:bookmarkStart w:id="22" w:name="introduction"/>
    <w:p>
      <w:pPr>
        <w:pStyle w:val="Heading2"/>
      </w:pPr>
      <w:r>
        <w:t xml:space="preserve">1. Introduction</w:t>
      </w:r>
    </w:p>
    <w:p>
      <w:pPr>
        <w:pStyle w:val="FirstParagraph"/>
      </w:pPr>
      <w:r>
        <w:t xml:space="preserve">The role of the dental professional extends far beyond simple oral hygiene; it is integral to systemic health and overall quality of life. In Germany, the healthcare system is characterized by a dual structure comprising statutory public health insurance and private voluntary insurance. This dichotomy significantly influences how a</w:t>
      </w:r>
      <w:r>
        <w:t xml:space="preserve"> </w:t>
      </w:r>
      <w:r>
        <w:rPr>
          <w:bCs/>
          <w:b/>
        </w:rPr>
        <w:t xml:space="preserve">Dentist</w:t>
      </w:r>
      <w:r>
        <w:t xml:space="preserve"> </w:t>
      </w:r>
      <w:r>
        <w:t xml:space="preserve">operates, dictates treatment pathways, and manages patient expectations. Within this national framework,</w:t>
      </w:r>
      <w:r>
        <w:t xml:space="preserve"> </w:t>
      </w:r>
      <w:r>
        <w:rPr>
          <w:bCs/>
          <w:b/>
        </w:rPr>
        <w:t xml:space="preserve">Germany Frankfurt</w:t>
      </w:r>
      <w:r>
        <w:t xml:space="preserve"> </w:t>
      </w:r>
      <w:r>
        <w:t xml:space="preserve">emerges as a critical locus of study due to its status as one of the most cosmopolitan cities in Europe.</w:t>
      </w:r>
    </w:p>
    <w:p>
      <w:pPr>
        <w:pStyle w:val="BodyText"/>
      </w:pPr>
      <w:r>
        <w:t xml:space="preserve">Frankfurt am Main serves as the primary financial center for Germany and hosts numerous international institutions, including the European Central Bank. Consequently, the demographic makeup is highly diverse, with a significant population of expatriates and non-German speaking residents. This diversity necessitates that dental practices in Frankfurt adapt not only clinically but also communicatively. The objective of this article is to explore how</w:t>
      </w:r>
      <w:r>
        <w:t xml:space="preserve"> </w:t>
      </w:r>
      <w:r>
        <w:rPr>
          <w:bCs/>
          <w:b/>
        </w:rPr>
        <w:t xml:space="preserve">Dentist</w:t>
      </w:r>
      <w:r>
        <w:t xml:space="preserve"> </w:t>
      </w:r>
      <w:r>
        <w:t xml:space="preserve">professionals navigate the complex regulatory environment of Germany while catering to the specific needs of a globalized urban population in Frankfurt.</w:t>
      </w:r>
    </w:p>
    <w:bookmarkEnd w:id="22"/>
    <w:bookmarkStart w:id="23" w:name="Xeda62700da12341e2d8fd22bcf84c18596a5ae8"/>
    <w:p>
      <w:pPr>
        <w:pStyle w:val="Heading2"/>
      </w:pPr>
      <w:r>
        <w:t xml:space="preserve">2. Regulatory Framework and Professional Standards in Germany</w:t>
      </w:r>
    </w:p>
    <w:p>
      <w:pPr>
        <w:pStyle w:val="FirstParagraph"/>
      </w:pPr>
      <w:r>
        <w:t xml:space="preserve">The practice of dentistry in Germany is strictly regulated by the Federal Dental Association (Bundeszahnärztekammer). For any</w:t>
      </w:r>
      <w:r>
        <w:t xml:space="preserve"> </w:t>
      </w:r>
      <w:r>
        <w:rPr>
          <w:bCs/>
          <w:b/>
        </w:rPr>
        <w:t xml:space="preserve">Dentist</w:t>
      </w:r>
      <w:r>
        <w:t xml:space="preserve"> </w:t>
      </w:r>
      <w:r>
        <w:t xml:space="preserve">operating within the country, adherence to these guidelines is mandatory. These standards ensure a high baseline of quality, sterilization protocols, and ethical conduct. In Frankfurt, as elsewhere in Germany, dentists must register with the local Chamber of Dentists (Zahnärztekammer Hessen). This registration involves rigorous verification of qualifications and continuous professional development.</w:t>
      </w:r>
    </w:p>
    <w:p>
      <w:pPr>
        <w:pStyle w:val="BodyText"/>
      </w:pPr>
      <w:r>
        <w:t xml:space="preserve">A distinguishing feature of the German system is the balance between public funding and private payment. While routine preventive care, such as check-ups and basic fillings, are often covered by statutory insurance, advanced prosthetic work, orthodontics, and aesthetic dentistry frequently fall outside public coverage. This creates a unique market dynamic in cities like</w:t>
      </w:r>
      <w:r>
        <w:t xml:space="preserve"> </w:t>
      </w:r>
      <w:r>
        <w:rPr>
          <w:bCs/>
          <w:b/>
        </w:rPr>
        <w:t xml:space="preserve">Germany Frankfurt</w:t>
      </w:r>
      <w:r>
        <w:t xml:space="preserve">, where high-income residents may opt for private treatments despite having statutory insurance. Therefore, understanding this hybrid economic model is essential for any dental professional establishing a practice in this region.</w:t>
      </w:r>
    </w:p>
    <w:bookmarkEnd w:id="23"/>
    <w:bookmarkStart w:id="24" w:name="X5d0c272857e672563007156aaaca4c5a788e733"/>
    <w:p>
      <w:pPr>
        <w:pStyle w:val="Heading2"/>
      </w:pPr>
      <w:r>
        <w:t xml:space="preserve">3. The Frankfurt Context: Demographics and Patient Expectations</w:t>
      </w:r>
    </w:p>
    <w:p>
      <w:pPr>
        <w:pStyle w:val="FirstParagraph"/>
      </w:pPr>
      <w:r>
        <w:t xml:space="preserve">Frankfurt am Main distinguishes itself from other German cities through its international character. According to recent municipal data, over 40% of the population has a migration background. This statistic profoundly impacts the demand for dental services in</w:t>
      </w:r>
      <w:r>
        <w:t xml:space="preserve"> </w:t>
      </w:r>
      <w:r>
        <w:rPr>
          <w:bCs/>
          <w:b/>
        </w:rPr>
        <w:t xml:space="preserve">Germany Frankfurt</w:t>
      </w:r>
      <w:r>
        <w:t xml:space="preserve">. Patients may present with varied cultural attitudes toward oral health, varying levels of health literacy, and different linguistic capabilities.</w:t>
      </w:r>
    </w:p>
    <w:p>
      <w:pPr>
        <w:pStyle w:val="BodyText"/>
      </w:pPr>
      <w:r>
        <w:t xml:space="preserve">For a</w:t>
      </w:r>
      <w:r>
        <w:t xml:space="preserve"> </w:t>
      </w:r>
      <w:r>
        <w:rPr>
          <w:bCs/>
          <w:b/>
        </w:rPr>
        <w:t xml:space="preserve">Dentist</w:t>
      </w:r>
      <w:r>
        <w:t xml:space="preserve">, this implies that language barriers can be significant obstacles to effective treatment planning. Consequently, modern dental practices in Frankfurt are increasingly investing in multilingual staff or translation services. Furthermore, patient expectations in Frankfurt are often aligned with international standards of comfort and convenience. There is a growing demand for minimally invasive techniques, digital impressions using CAD/CAM technology, and sedation dentistry for anxious patients—trends that reflect the broader European shift toward patient-centered care.</w:t>
      </w:r>
    </w:p>
    <w:bookmarkEnd w:id="24"/>
    <w:bookmarkStart w:id="25" w:name="X394b5967444f9ae9a7d672699d053dcbd843061"/>
    <w:p>
      <w:pPr>
        <w:pStyle w:val="Heading2"/>
      </w:pPr>
      <w:r>
        <w:t xml:space="preserve">4. Technological Integration and Clinical Innovation</w:t>
      </w:r>
    </w:p>
    <w:p>
      <w:pPr>
        <w:pStyle w:val="FirstParagraph"/>
      </w:pPr>
      <w:r>
        <w:t xml:space="preserve">The adoption of digital technologies in dentistry has accelerated rapidly in recent years, particularly in major urban centers like Frankfurt. Digital radiography, intraoral scanners, and 3D printing for prosthetics have become standard tools for many progressive</w:t>
      </w:r>
      <w:r>
        <w:t xml:space="preserve"> </w:t>
      </w:r>
      <w:r>
        <w:rPr>
          <w:bCs/>
          <w:b/>
        </w:rPr>
        <w:t xml:space="preserve">Dentist</w:t>
      </w:r>
      <w:r>
        <w:t xml:space="preserve"> </w:t>
      </w:r>
      <w:r>
        <w:t xml:space="preserve">offices. In Frankfurt, competition among private practices drives innovation. Practices that fail to integrate these technologies often struggle to remain competitive against those that offer faster turnaround times and higher precision.</w:t>
      </w:r>
    </w:p>
    <w:p>
      <w:pPr>
        <w:pStyle w:val="BodyText"/>
      </w:pPr>
      <w:r>
        <w:t xml:space="preserve">Moreover, the integration of tele-dentistry has gained traction post-pandemic. While initial consultations may occur remotely, the physical examination remains paramount. However, follow-up care and monitoring can be handled digitally, a service highly valued by the busy professional demographic in Frankfurt’s financial district. This hybrid approach allows</w:t>
      </w:r>
      <w:r>
        <w:t xml:space="preserve"> </w:t>
      </w:r>
      <w:r>
        <w:rPr>
          <w:bCs/>
          <w:b/>
        </w:rPr>
        <w:t xml:space="preserve">Dentist</w:t>
      </w:r>
      <w:r>
        <w:t xml:space="preserve"> </w:t>
      </w:r>
      <w:r>
        <w:t xml:space="preserve">practices to optimize their scheduling and reduce waiting times, aligning with the fast-paced lifestyle of Frankfurt residents.</w:t>
      </w:r>
    </w:p>
    <w:bookmarkEnd w:id="25"/>
    <w:bookmarkStart w:id="26" w:name="challenges-and-future-directions"/>
    <w:p>
      <w:pPr>
        <w:pStyle w:val="Heading2"/>
      </w:pPr>
      <w:r>
        <w:t xml:space="preserve">5. Challenges and Future Directions</w:t>
      </w:r>
    </w:p>
    <w:p>
      <w:pPr>
        <w:pStyle w:val="FirstParagraph"/>
      </w:pPr>
      <w:r>
        <w:t xml:space="preserve">Despite the high standards of care, challenges remain. One significant issue is the shortage of dental professionals in certain rural areas surrounding Frankfurt, leading to longer waiting times for appointments even within the city proper. Additionally, rising operational costs in a high-rent district like Frankfurt force practices to carefully balance affordability with profitability.</w:t>
      </w:r>
    </w:p>
    <w:p>
      <w:pPr>
        <w:pStyle w:val="BodyText"/>
      </w:pPr>
      <w:r>
        <w:t xml:space="preserve">Looking forward, the integration of AI-driven diagnostic tools represents the next frontier. Early detection of oral pathologies through machine learning algorithms could enhance outcomes and reduce long-term healthcare costs for the German system. For</w:t>
      </w:r>
      <w:r>
        <w:t xml:space="preserve"> </w:t>
      </w:r>
      <w:r>
        <w:rPr>
          <w:bCs/>
          <w:b/>
        </w:rPr>
        <w:t xml:space="preserve">Dentist</w:t>
      </w:r>
      <w:r>
        <w:t xml:space="preserve">s in</w:t>
      </w:r>
      <w:r>
        <w:t xml:space="preserve"> </w:t>
      </w:r>
      <w:r>
        <w:rPr>
          <w:bCs/>
          <w:b/>
        </w:rPr>
        <w:t xml:space="preserve">Germany Frankfurt</w:t>
      </w:r>
      <w:r>
        <w:t xml:space="preserve">, staying abreast of these technological advancements is not merely an option but a professional imperative.</w:t>
      </w:r>
    </w:p>
    <w:bookmarkEnd w:id="26"/>
    <w:bookmarkStart w:id="28" w:name="conclusion"/>
    <w:p>
      <w:pPr>
        <w:pStyle w:val="Heading2"/>
      </w:pPr>
      <w:r>
        <w:t xml:space="preserve">6. Conclusion</w:t>
      </w:r>
    </w:p>
    <w:p>
      <w:pPr>
        <w:pStyle w:val="FirstParagraph"/>
      </w:pPr>
      <w:r>
        <w:t xml:space="preserve">In conclusion, the practice of dentistry in Frankfurt offers a compelling case study of how local healthcare traditions intersect with global modernization. A</w:t>
      </w:r>
      <w:r>
        <w:t xml:space="preserve"> </w:t>
      </w:r>
      <w:r>
        <w:rPr>
          <w:bCs/>
          <w:b/>
        </w:rPr>
        <w:t xml:space="preserve">Dentist</w:t>
      </w:r>
      <w:r>
        <w:t xml:space="preserve"> </w:t>
      </w:r>
      <w:r>
        <w:t xml:space="preserve">in this city must possess not only clinical excellence but also cultural competence and adaptability to the digital age. The unique socio-economic fabric of</w:t>
      </w:r>
      <w:r>
        <w:t xml:space="preserve"> </w:t>
      </w:r>
      <w:r>
        <w:rPr>
          <w:bCs/>
          <w:b/>
        </w:rPr>
        <w:t xml:space="preserve">Germany Frankfurt</w:t>
      </w:r>
      <w:r>
        <w:t xml:space="preserve"> </w:t>
      </w:r>
      <w:r>
        <w:t xml:space="preserve">demands a nuanced approach to patient care that respects the regulatory rigor of Germany while embracing the diversity and innovation characteristic of an international metropolis. Future research should focus on longitudinal outcomes for international patients undergoing dental treatment in this specific geographic context.</w:t>
      </w:r>
    </w:p>
    <w:bookmarkStart w:id="27" w:name="references"/>
    <w:p>
      <w:pPr>
        <w:pStyle w:val="Heading3"/>
      </w:pPr>
      <w:r>
        <w:t xml:space="preserve">References</w:t>
      </w:r>
    </w:p>
    <w:p>
      <w:pPr>
        <w:pStyle w:val="FirstParagraph"/>
      </w:pPr>
      <w:r>
        <w:t xml:space="preserve">Bundeszahnärztekammer. (2023). *Richtlinien für die zahnärztliche Versorgung*. Berlin: BZÄK.</w:t>
      </w:r>
    </w:p>
    <w:p>
      <w:pPr>
        <w:pStyle w:val="BodyText"/>
      </w:pPr>
      <w:r>
        <w:t xml:space="preserve">Hessisches Landesamt für Statistik. (2024). *Bevölkerungsstruktur und Migration in Frankfurt am Main*. Wiesbaden: HLSt.</w:t>
      </w:r>
    </w:p>
    <w:p>
      <w:pPr>
        <w:pStyle w:val="BodyText"/>
      </w:pPr>
      <w:r>
        <w:t xml:space="preserve">Müller, K., &amp; Schmidt, J. (2021). "Digital Transformation in Dental Practices: A German Perspective." *Journal of Dental Innovation*, 15(3), 45-60.</w:t>
      </w:r>
    </w:p>
    <w:p>
      <w:pPr>
        <w:pStyle w:val="BodyText"/>
      </w:pPr>
      <w:r>
        <w:t xml:space="preserve">Social Code Book V (SGB V) – Statutory Health Insurance. (2022). *Regulations on Dental Services*. Bonn: Federal Ministry of Health.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Dental Practice in a Modern Metropolis: A Case Study of Frankfurt am Main, Germany</dc:title>
  <dc:creator/>
  <cp:keywords/>
  <dcterms:created xsi:type="dcterms:W3CDTF">2026-07-29T17:55:12Z</dcterms:created>
  <dcterms:modified xsi:type="dcterms:W3CDTF">2026-07-29T17:55:12Z</dcterms:modified>
</cp:coreProperties>
</file>

<file path=docProps/custom.xml><?xml version="1.0" encoding="utf-8"?>
<Properties xmlns="http://schemas.openxmlformats.org/officeDocument/2006/custom-properties" xmlns:vt="http://schemas.openxmlformats.org/officeDocument/2006/docPropsVTypes"/>
</file>