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Nutrition</w:t>
      </w:r>
      <w:r>
        <w:t xml:space="preserve"> </w:t>
      </w:r>
      <w:r>
        <w:t xml:space="preserve">and</w:t>
      </w:r>
      <w:r>
        <w:t xml:space="preserve"> </w:t>
      </w:r>
      <w:r>
        <w:t xml:space="preserve">Modern</w:t>
      </w:r>
      <w:r>
        <w:t xml:space="preserve"> </w:t>
      </w:r>
      <w:r>
        <w:t xml:space="preserve">Public</w:t>
      </w:r>
      <w:r>
        <w:t xml:space="preserve"> </w:t>
      </w:r>
      <w:r>
        <w:t xml:space="preserve">Health</w:t>
      </w:r>
      <w:r>
        <w:t xml:space="preserve"> </w:t>
      </w:r>
      <w:r>
        <w:t xml:space="preserve">Challenges</w:t>
      </w:r>
    </w:p>
    <w:p>
      <w:pPr>
        <w:pStyle w:val="FirstParagraph"/>
      </w:pPr>
      <w:r>
        <w:t xml:space="preserve">```html</w:t>
      </w:r>
    </w:p>
    <w:bookmarkStart w:id="28" w:name="Xb741555327de8111da03ae34378ab18f0a2ba62"/>
    <w:p>
      <w:pPr>
        <w:pStyle w:val="Heading1"/>
      </w:pPr>
      <w:r>
        <w:t xml:space="preserve">The Evolving Role of the Dietitian in Kazakhstan Almaty: Bridging Traditional Nutrition and Modern Public Health Challenges</w:t>
      </w:r>
    </w:p>
    <w:p>
      <w:pPr>
        <w:pStyle w:val="FirstParagraph"/>
      </w:pPr>
      <w:r>
        <w:rPr>
          <w:iCs/>
          <w:i/>
          <w:bCs/>
          <w:b/>
        </w:rPr>
        <w:t xml:space="preserve">Alexei V. Petrov, PhD in Clinical Nutrition; Elmira S. Kozhabayeva, MD</w:t>
      </w:r>
    </w:p>
    <w:p>
      <w:pPr>
        <w:pStyle w:val="BodyText"/>
      </w:pPr>
      <w:r>
        <w:rPr>
          <w:iCs/>
          <w:i/>
        </w:rPr>
        <w:t xml:space="preserve">Kazakh National Medical University After S.D.Asfendiyarov, Almaty, Kazakhstan</w:t>
      </w:r>
    </w:p>
    <w:bookmarkStart w:id="20" w:name="abstract"/>
    <w:p>
      <w:pPr>
        <w:pStyle w:val="Heading2"/>
      </w:pPr>
      <w:r>
        <w:t xml:space="preserve">Abstract</w:t>
      </w:r>
    </w:p>
    <w:p>
      <w:pPr>
        <w:pStyle w:val="FirstParagraph"/>
      </w:pPr>
      <w:r>
        <w:t xml:space="preserve">The dietary transition in Central Asia has been rapid and profound over the past three decades. As</w:t>
      </w:r>
      <w:r>
        <w:t xml:space="preserve"> </w:t>
      </w:r>
      <w:r>
        <w:rPr>
          <w:bCs/>
          <w:b/>
        </w:rPr>
        <w:t xml:space="preserve">Kazakhstan Almaty</w:t>
      </w:r>
      <w:r>
        <w:t xml:space="preserve">, the cultural and economic hub of the nation, experiences an urbanization-driven shift towards processed foods, diet-related non-communicable diseases (NCDs) have surged. This article examines the critical role of the</w:t>
      </w:r>
      <w:r>
        <w:t xml:space="preserve"> </w:t>
      </w:r>
      <w:r>
        <w:rPr>
          <w:bCs/>
          <w:b/>
        </w:rPr>
        <w:t xml:space="preserve">Dietitian</w:t>
      </w:r>
      <w:r>
        <w:t xml:space="preserve"> </w:t>
      </w:r>
      <w:r>
        <w:t xml:space="preserve">in addressing these public health challenges within</w:t>
      </w:r>
      <w:r>
        <w:t xml:space="preserve"> </w:t>
      </w:r>
      <w:r>
        <w:rPr>
          <w:bCs/>
          <w:b/>
        </w:rPr>
        <w:t xml:space="preserve">Kazakhstan Almaty</w:t>
      </w:r>
      <w:r>
        <w:t xml:space="preserve">. We analyze current dietary patterns, explore the regulatory landscape for nutrition professionals in Kazakhstan, and propose a framework for integrating evidence-based dietetic practice into primary healthcare systems. The findings suggest that empowering dietitians is essential not only for individual patient care but also for national health policy implementation.</w:t>
      </w:r>
    </w:p>
    <w:bookmarkEnd w:id="20"/>
    <w:bookmarkStart w:id="21" w:name="introduction"/>
    <w:p>
      <w:pPr>
        <w:pStyle w:val="Heading2"/>
      </w:pPr>
      <w:r>
        <w:t xml:space="preserve">Introduction</w:t>
      </w:r>
    </w:p>
    <w:p>
      <w:pPr>
        <w:pStyle w:val="FirstParagraph"/>
      </w:pPr>
      <w:r>
        <w:t xml:space="preserve">The epidemiological transition in</w:t>
      </w:r>
      <w:r>
        <w:t xml:space="preserve"> </w:t>
      </w:r>
      <w:r>
        <w:rPr>
          <w:bCs/>
          <w:b/>
        </w:rPr>
        <w:t xml:space="preserve">Kazakhstan Almaty</w:t>
      </w:r>
      <w:r>
        <w:t xml:space="preserve">, as in many post-Soviet urban centers, has moved from a prevalence of infectious diseases to a dominance of chronic lifestyle-related conditions. Cardiovascular disease, type 2 diabetes mellitus, and obesity are now leading causes of morbidity and mortality in the region. Central to this shift is the changing nutritional landscape. Traditional diets rich in whole grains, dairy products like fermented milk (kumis and shubat), and seasonal vegetables are increasingly being replaced by high-calorie, low-nutrient diets characterized by excessive sugar, saturated fats, and sodium.</w:t>
      </w:r>
    </w:p>
    <w:p>
      <w:pPr>
        <w:pStyle w:val="BodyText"/>
      </w:pPr>
      <w:r>
        <w:t xml:space="preserve">In response to this crisis, the role of the</w:t>
      </w:r>
      <w:r>
        <w:t xml:space="preserve"> </w:t>
      </w:r>
      <w:r>
        <w:rPr>
          <w:bCs/>
          <w:b/>
        </w:rPr>
        <w:t xml:space="preserve">Dietitian</w:t>
      </w:r>
      <w:r>
        <w:t xml:space="preserve"> </w:t>
      </w:r>
      <w:r>
        <w:t xml:space="preserve">has emerged as a vital component of modern healthcare. However, despite growing recognition of nutrition's importance in disease prevention and management, the professional scope and integration of dietitians within the</w:t>
      </w:r>
      <w:r>
        <w:t xml:space="preserve"> </w:t>
      </w:r>
      <w:r>
        <w:rPr>
          <w:bCs/>
          <w:b/>
        </w:rPr>
        <w:t xml:space="preserve">Kazakhstan Almaty</w:t>
      </w:r>
      <w:r>
        <w:t xml:space="preserve"> </w:t>
      </w:r>
      <w:r>
        <w:t xml:space="preserve">healthcare system remain underdeveloped compared to Western standards. This paper aims to delineate the specific challenges faced by nutrition professionals in</w:t>
      </w:r>
      <w:r>
        <w:t xml:space="preserve"> </w:t>
      </w:r>
      <w:r>
        <w:rPr>
          <w:bCs/>
          <w:b/>
        </w:rPr>
        <w:t xml:space="preserve">Kazakhstan Almaty</w:t>
      </w:r>
      <w:r>
        <w:t xml:space="preserve"> </w:t>
      </w:r>
      <w:r>
        <w:t xml:space="preserve">and advocate for a robust framework that elevates the status of dietetics as a specialized medical discipline.</w:t>
      </w:r>
    </w:p>
    <w:bookmarkEnd w:id="21"/>
    <w:bookmarkStart w:id="22" w:name="X41e31e2e8ca2a1f551554b03588be693fd0fe5f"/>
    <w:p>
      <w:pPr>
        <w:pStyle w:val="Heading2"/>
      </w:pPr>
      <w:r>
        <w:t xml:space="preserve">The Nutritional Landscape in Kazakhstan Almaty</w:t>
      </w:r>
    </w:p>
    <w:p>
      <w:pPr>
        <w:pStyle w:val="FirstParagraph"/>
      </w:pPr>
      <w:r>
        <w:rPr>
          <w:bCs/>
          <w:b/>
        </w:rPr>
        <w:t xml:space="preserve">Kazakhstan Almaty</w:t>
      </w:r>
      <w:r>
        <w:t xml:space="preserve">, being the largest city in the country, serves as a microcosm for national dietary trends. The rapid influx of international fast-food chains, coupled with economic shifts that have altered food affordability and accessibility, has reshaped consumer behavior. While traditional Kazakh cuisine offers valuable nutrients—particularly from dairy and lean meats such as lamb—the modern urban diet in</w:t>
      </w:r>
      <w:r>
        <w:t xml:space="preserve"> </w:t>
      </w:r>
      <w:r>
        <w:rPr>
          <w:bCs/>
          <w:b/>
        </w:rPr>
        <w:t xml:space="preserve">Kazakhstan Almaty</w:t>
      </w:r>
      <w:r>
        <w:t xml:space="preserve"> </w:t>
      </w:r>
      <w:r>
        <w:t xml:space="preserve">is heavily skewed towards convenience foods.</w:t>
      </w:r>
    </w:p>
    <w:p>
      <w:pPr>
        <w:pStyle w:val="BodyText"/>
      </w:pPr>
      <w:r>
        <w:t xml:space="preserve">Data from local health surveys indicate a significant rise in sugar consumption among children and adolescents, largely driven by the availability of soft drinks and processed snacks. Furthermore, the sedentary lifestyle prevalent among the working population in</w:t>
      </w:r>
      <w:r>
        <w:t xml:space="preserve"> </w:t>
      </w:r>
      <w:r>
        <w:rPr>
          <w:bCs/>
          <w:b/>
        </w:rPr>
        <w:t xml:space="preserve">Kazakhstan Almaty</w:t>
      </w:r>
      <w:r>
        <w:t xml:space="preserve">'s corporate sectors exacerbates caloric surplus. These factors create a perfect storm for metabolic syndrome, making professional nutritional intervention urgent.</w:t>
      </w:r>
    </w:p>
    <w:bookmarkEnd w:id="22"/>
    <w:bookmarkStart w:id="23" w:name="X9d02e74685f26533863e346e6fc18d1206fa987"/>
    <w:p>
      <w:pPr>
        <w:pStyle w:val="Heading2"/>
      </w:pPr>
      <w:r>
        <w:t xml:space="preserve">The Role and Scope of Practice of the Dietitian</w:t>
      </w:r>
    </w:p>
    <w:p>
      <w:pPr>
        <w:pStyle w:val="FirstParagraph"/>
      </w:pPr>
      <w:r>
        <w:t xml:space="preserve">A registered</w:t>
      </w:r>
      <w:r>
        <w:t xml:space="preserve"> </w:t>
      </w:r>
      <w:r>
        <w:rPr>
          <w:bCs/>
          <w:b/>
        </w:rPr>
        <w:t xml:space="preserve">Dietitian</w:t>
      </w:r>
      <w:r>
        <w:t xml:space="preserve"> </w:t>
      </w:r>
      <w:r>
        <w:t xml:space="preserve">is a health professional who applies the science of nutrition to promote health and manage disease. In</w:t>
      </w:r>
      <w:r>
        <w:t xml:space="preserve"> </w:t>
      </w:r>
      <w:r>
        <w:rPr>
          <w:bCs/>
          <w:b/>
        </w:rPr>
        <w:t xml:space="preserve">Kazakhstan Almaty</w:t>
      </w:r>
      <w:r>
        <w:t xml:space="preserve">, the definition and scope of this role are currently evolving. Traditionally, nutritional advice has been dispensed by general practitioners or passed down through cultural customs, rather than through specialized dietetic education.</w:t>
      </w:r>
    </w:p>
    <w:p>
      <w:pPr>
        <w:pStyle w:val="BodyText"/>
      </w:pPr>
      <w:r>
        <w:t xml:space="preserve">The core functions of a modern</w:t>
      </w:r>
      <w:r>
        <w:t xml:space="preserve"> </w:t>
      </w:r>
      <w:r>
        <w:rPr>
          <w:bCs/>
          <w:b/>
        </w:rPr>
        <w:t xml:space="preserve">Dietitian</w:t>
      </w:r>
      <w:r>
        <w:t xml:space="preserve"> </w:t>
      </w:r>
      <w:r>
        <w:t xml:space="preserve">in</w:t>
      </w:r>
      <w:r>
        <w:t xml:space="preserve"> </w:t>
      </w:r>
      <w:r>
        <w:rPr>
          <w:bCs/>
          <w:b/>
        </w:rPr>
        <w:t xml:space="preserve">Kazakhstan Almaty</w:t>
      </w:r>
      <w:r>
        <w:t xml:space="preserve"> </w:t>
      </w:r>
      <w:r>
        <w:t xml:space="preserve">include:</w:t>
      </w:r>
    </w:p>
    <w:p>
      <w:pPr>
        <w:numPr>
          <w:ilvl w:val="0"/>
          <w:numId w:val="1001"/>
        </w:numPr>
        <w:pStyle w:val="Compact"/>
      </w:pPr>
      <w:r>
        <w:rPr>
          <w:bCs/>
          <w:b/>
        </w:rPr>
        <w:t xml:space="preserve">Clinical Nutrition Therapy:</w:t>
      </w:r>
      <w:r>
        <w:t xml:space="preserve"> </w:t>
      </w:r>
      <w:r>
        <w:t xml:space="preserve">Managing patients with diabetes, hypertension, and renal disease through medical nutrition therapy (MNT).</w:t>
      </w:r>
    </w:p>
    <w:p>
      <w:pPr>
        <w:numPr>
          <w:ilvl w:val="0"/>
          <w:numId w:val="1001"/>
        </w:numPr>
        <w:pStyle w:val="Compact"/>
      </w:pPr>
      <w:r>
        <w:rPr>
          <w:bCs/>
          <w:b/>
        </w:rPr>
        <w:t xml:space="preserve">Pediatric Nutrition:</w:t>
      </w:r>
      <w:r>
        <w:t xml:space="preserve"> </w:t>
      </w:r>
      <w:r>
        <w:t xml:space="preserve">Addressing malnutrition and obesity in children, focusing on early dietary habits.</w:t>
      </w:r>
    </w:p>
    <w:p>
      <w:pPr>
        <w:numPr>
          <w:ilvl w:val="0"/>
          <w:numId w:val="1001"/>
        </w:numPr>
        <w:pStyle w:val="Compact"/>
      </w:pPr>
      <w:r>
        <w:rPr>
          <w:bCs/>
          <w:b/>
        </w:rPr>
        <w:t xml:space="preserve">Prenatal Care:</w:t>
      </w:r>
    </w:p>
    <w:p>
      <w:pPr>
        <w:numPr>
          <w:ilvl w:val="0"/>
          <w:numId w:val="1001"/>
        </w:numPr>
        <w:pStyle w:val="Compact"/>
      </w:pPr>
      <w:r>
        <w:rPr>
          <w:bCs/>
          <w:b/>
        </w:rPr>
        <w:t xml:space="preserve">Educational Outreach:</w:t>
      </w:r>
      <w:r>
        <w:t xml:space="preserve"> </w:t>
      </w:r>
      <w:r>
        <w:t xml:space="preserve">Conducting workshops and community programs in schools and workplaces across</w:t>
      </w:r>
    </w:p>
    <w:p>
      <w:pPr>
        <w:numPr>
          <w:ilvl w:val="0"/>
          <w:numId w:val="1000"/>
        </w:numPr>
        <w:pStyle w:val="Compact"/>
      </w:pPr>
      <w:r>
        <w:rPr>
          <w:bCs/>
          <w:b/>
        </w:rPr>
        <w:t xml:space="preserve">Kazakhstan Almaty</w:t>
      </w:r>
      <w:r>
        <w:t xml:space="preserve">.</w:t>
      </w:r>
    </w:p>
    <w:p>
      <w:pPr>
        <w:pStyle w:val="FirstParagraph"/>
      </w:pPr>
      <w:r>
        <w:t xml:space="preserve">However, the full potential of the</w:t>
      </w:r>
      <w:r>
        <w:t xml:space="preserve"> </w:t>
      </w:r>
      <w:r>
        <w:rPr>
          <w:bCs/>
          <w:b/>
        </w:rPr>
        <w:t xml:space="preserve">Dietitian</w:t>
      </w:r>
      <w:r>
        <w:t xml:space="preserve"> </w:t>
      </w:r>
      <w:r>
        <w:t xml:space="preserve">is often limited by a lack of standardized licensing, insurance coverage for nutritional counseling, and interprofessional collaboration within hospitals in</w:t>
      </w:r>
    </w:p>
    <w:p>
      <w:pPr>
        <w:pStyle w:val="BodyText"/>
      </w:pPr>
      <w:r>
        <w:rPr>
          <w:bCs/>
          <w:b/>
        </w:rPr>
        <w:t xml:space="preserve">Kazakhstan Almaty</w:t>
      </w:r>
      <w:r>
        <w:t xml:space="preserve">.</w:t>
      </w:r>
    </w:p>
    <w:bookmarkEnd w:id="23"/>
    <w:bookmarkStart w:id="24" w:name="challenges-in-the-professional-landscape"/>
    <w:p>
      <w:pPr>
        <w:pStyle w:val="Heading2"/>
      </w:pPr>
      <w:r>
        <w:t xml:space="preserve">Challenges in the Professional Landscape</w:t>
      </w:r>
    </w:p>
    <w:p>
      <w:pPr>
        <w:pStyle w:val="FirstParagraph"/>
      </w:pPr>
      <w:r>
        <w:t xml:space="preserve">The development of dietetics as a formal profession in</w:t>
      </w:r>
    </w:p>
    <w:p>
      <w:pPr>
        <w:pStyle w:val="BodyText"/>
      </w:pPr>
      <w:r>
        <w:rPr>
          <w:bCs/>
          <w:b/>
        </w:rPr>
        <w:t xml:space="preserve">Kazakhstan Almaty</w:t>
      </w:r>
      <w:r>
        <w:t xml:space="preserve"> </w:t>
      </w:r>
      <w:r>
        <w:t xml:space="preserve">faces several structural hurdles. Firstly, there is an absence of a unified national registry for dietitians. While nurses and doctors are strictly regulated, nutritionists often operate without clear legal boundaries, leading to confusion among patients seeking dietary advice.</w:t>
      </w:r>
    </w:p>
    <w:p>
      <w:pPr>
        <w:pStyle w:val="BodyText"/>
      </w:pPr>
      <w:r>
        <w:t xml:space="preserve">Secondly, educational pathways for aspiring</w:t>
      </w:r>
    </w:p>
    <w:p>
      <w:pPr>
        <w:pStyle w:val="BodyText"/>
      </w:pPr>
      <w:r>
        <w:rPr>
          <w:bCs/>
          <w:b/>
        </w:rPr>
        <w:t xml:space="preserve">Dietitian</w:t>
      </w:r>
      <w:r>
        <w:t xml:space="preserve">s in</w:t>
      </w:r>
    </w:p>
    <w:p>
      <w:pPr>
        <w:pStyle w:val="BodyText"/>
      </w:pPr>
      <w:r>
        <w:rPr>
          <w:bCs/>
          <w:b/>
        </w:rPr>
        <w:t xml:space="preserve">Kazakhstan Almaty</w:t>
      </w:r>
      <w:r>
        <w:t xml:space="preserve"> </w:t>
      </w:r>
      <w:r>
        <w:t xml:space="preserve">vary significantly. Some professionals hold degrees in general medicine, while others come from culinary arts or biology backgrounds without clinical training. This heterogeneity challenges the establishment of a standardized competency framework.</w:t>
      </w:r>
    </w:p>
    <w:p>
      <w:pPr>
        <w:pStyle w:val="BodyText"/>
      </w:pPr>
      <w:r>
        <w:t xml:space="preserve">Thirdly, there is a cultural barrier. In many communities within</w:t>
      </w:r>
    </w:p>
    <w:p>
      <w:pPr>
        <w:pStyle w:val="BodyText"/>
      </w:pPr>
      <w:r>
        <w:rPr>
          <w:bCs/>
          <w:b/>
        </w:rPr>
        <w:t xml:space="preserve">Kazakhstan Almaty</w:t>
      </w:r>
      <w:r>
        <w:t xml:space="preserve">, food is deeply tied to hospitality and tradition. Changing dietary habits can be viewed as an affront to cultural norms. Therefore, the</w:t>
      </w:r>
    </w:p>
    <w:p>
      <w:pPr>
        <w:pStyle w:val="BodyText"/>
      </w:pPr>
      <w:r>
        <w:rPr>
          <w:bCs/>
          <w:b/>
        </w:rPr>
        <w:t xml:space="preserve">Dietitian</w:t>
      </w:r>
      <w:r>
        <w:t xml:space="preserve"> </w:t>
      </w:r>
      <w:r>
        <w:t xml:space="preserve">must not only possess clinical knowledge but also strong communication skills to navigate these cultural sensitivities effectively.</w:t>
      </w:r>
    </w:p>
    <w:bookmarkEnd w:id="24"/>
    <w:bookmarkStart w:id="25" w:name="Xb24b7e8fcadcc81cae0a743e486ff2713aecd65"/>
    <w:p>
      <w:pPr>
        <w:pStyle w:val="Heading2"/>
      </w:pPr>
      <w:r>
        <w:t xml:space="preserve">Strategic Recommendations for Integration</w:t>
      </w:r>
    </w:p>
    <w:p>
      <w:pPr>
        <w:pStyle w:val="FirstParagraph"/>
      </w:pPr>
      <w:r>
        <w:t xml:space="preserve">To enhance public health outcomes in</w:t>
      </w:r>
    </w:p>
    <w:p>
      <w:pPr>
        <w:pStyle w:val="BodyText"/>
      </w:pPr>
      <w:r>
        <w:rPr>
          <w:bCs/>
          <w:b/>
        </w:rPr>
        <w:t xml:space="preserve">Kazakhstan Almaty</w:t>
      </w:r>
      <w:r>
        <w:t xml:space="preserve">, it is imperative to integrate the</w:t>
      </w:r>
    </w:p>
    <w:p>
      <w:pPr>
        <w:pStyle w:val="BodyText"/>
      </w:pPr>
      <w:r>
        <w:rPr>
          <w:bCs/>
          <w:b/>
        </w:rPr>
        <w:t xml:space="preserve">Dietitian</w:t>
      </w:r>
      <w:r>
        <w:t xml:space="preserve"> </w:t>
      </w:r>
      <w:r>
        <w:t xml:space="preserve">into the core healthcare infrastructure. We propose the following strategies:</w:t>
      </w:r>
    </w:p>
    <w:p>
      <w:pPr>
        <w:numPr>
          <w:ilvl w:val="0"/>
          <w:numId w:val="1002"/>
        </w:numPr>
        <w:pStyle w:val="Compact"/>
      </w:pPr>
      <w:r>
        <w:rPr>
          <w:bCs/>
          <w:b/>
        </w:rPr>
        <w:t xml:space="preserve">Legislative Recognition:</w:t>
      </w:r>
      <w:r>
        <w:t xml:space="preserve"> </w:t>
      </w:r>
      <w:r>
        <w:t xml:space="preserve">The Ministry of Healthcare should formally recognize dietetics as a distinct allied health profession, establishing clear educational and licensing requirements for practicing in</w:t>
      </w:r>
    </w:p>
    <w:p>
      <w:pPr>
        <w:numPr>
          <w:ilvl w:val="0"/>
          <w:numId w:val="1000"/>
        </w:numPr>
        <w:pStyle w:val="Compact"/>
      </w:pPr>
      <w:r>
        <w:rPr>
          <w:bCs/>
          <w:b/>
        </w:rPr>
        <w:t xml:space="preserve">Kazakhstan Almaty</w:t>
      </w:r>
      <w:r>
        <w:t xml:space="preserve">.</w:t>
      </w:r>
    </w:p>
    <w:p>
      <w:pPr>
        <w:numPr>
          <w:ilvl w:val="0"/>
          <w:numId w:val="1002"/>
        </w:numPr>
        <w:pStyle w:val="Compact"/>
      </w:pPr>
      <w:r>
        <w:rPr>
          <w:bCs/>
          <w:b/>
        </w:rPr>
        <w:t xml:space="preserve">Evidence-Based Guidelines:</w:t>
      </w:r>
      <w:r>
        <w:t xml:space="preserve"> </w:t>
      </w:r>
      <w:r>
        <w:t xml:space="preserve">Develop culturally appropriate dietary guidelines that respect traditional Kazakh foods while promoting health modifications. The</w:t>
      </w:r>
    </w:p>
    <w:p>
      <w:pPr>
        <w:numPr>
          <w:ilvl w:val="0"/>
          <w:numId w:val="1000"/>
        </w:numPr>
        <w:pStyle w:val="Compact"/>
      </w:pPr>
      <w:r>
        <w:rPr>
          <w:bCs/>
          <w:b/>
        </w:rPr>
        <w:t xml:space="preserve">Dietitian</w:t>
      </w:r>
      <w:r>
        <w:t xml:space="preserve"> </w:t>
      </w:r>
      <w:r>
        <w:t xml:space="preserve">should be the primary author and disseminator of these guidelines.</w:t>
      </w:r>
    </w:p>
    <w:p>
      <w:pPr>
        <w:numPr>
          <w:ilvl w:val="0"/>
          <w:numId w:val="1002"/>
        </w:numPr>
        <w:pStyle w:val="Compact"/>
      </w:pPr>
      <w:r>
        <w:rPr>
          <w:bCs/>
          <w:b/>
        </w:rPr>
        <w:t xml:space="preserve">Clinical Integration:</w:t>
      </w:r>
      <w:r>
        <w:t xml:space="preserve"> </w:t>
      </w:r>
      <w:r>
        <w:t xml:space="preserve">Mandate referral pathways from general practitioners to dietitians for patients with NCDs. Hospital systems in</w:t>
      </w:r>
    </w:p>
    <w:p>
      <w:pPr>
        <w:numPr>
          <w:ilvl w:val="0"/>
          <w:numId w:val="1000"/>
        </w:numPr>
        <w:pStyle w:val="Compact"/>
      </w:pPr>
      <w:r>
        <w:rPr>
          <w:bCs/>
          <w:b/>
        </w:rPr>
        <w:t xml:space="preserve">Kazakhstan Almaty</w:t>
      </w:r>
      <w:r>
        <w:t xml:space="preserve"> </w:t>
      </w:r>
      <w:r>
        <w:t xml:space="preserve">should allocate dedicated clinical dietitian positions.</w:t>
      </w:r>
    </w:p>
    <w:p>
      <w:pPr>
        <w:numPr>
          <w:ilvl w:val="0"/>
          <w:numId w:val="1002"/>
        </w:numPr>
        <w:pStyle w:val="Compact"/>
      </w:pPr>
      <w:r>
        <w:rPr>
          <w:bCs/>
          <w:b/>
        </w:rPr>
        <w:t xml:space="preserve">Patient Access and Reimbursement:</w:t>
      </w:r>
      <w:r>
        <w:t xml:space="preserve">: Expand health insurance coverage to include medical nutrition therapy, making the services of a</w:t>
      </w:r>
    </w:p>
    <w:p>
      <w:pPr>
        <w:numPr>
          <w:ilvl w:val="0"/>
          <w:numId w:val="1000"/>
        </w:numPr>
        <w:pStyle w:val="Compact"/>
      </w:pPr>
      <w:r>
        <w:rPr>
          <w:bCs/>
          <w:b/>
        </w:rPr>
        <w:t xml:space="preserve">Dietitian</w:t>
      </w:r>
      <w:r>
        <w:t xml:space="preserve"> </w:t>
      </w:r>
      <w:r>
        <w:t xml:space="preserve">accessible to a broader socioeconomic range in</w:t>
      </w:r>
    </w:p>
    <w:p>
      <w:pPr>
        <w:numPr>
          <w:ilvl w:val="0"/>
          <w:numId w:val="1000"/>
        </w:numPr>
        <w:pStyle w:val="Compact"/>
      </w:pPr>
      <w:r>
        <w:rPr>
          <w:bCs/>
          <w:b/>
        </w:rPr>
        <w:t xml:space="preserve">Kazakhstan Almaty</w:t>
      </w:r>
      <w:r>
        <w:t xml:space="preserve">.</w:t>
      </w:r>
    </w:p>
    <w:p>
      <w:pPr>
        <w:numPr>
          <w:ilvl w:val="0"/>
          <w:numId w:val="1002"/>
        </w:numPr>
        <w:pStyle w:val="Compact"/>
      </w:pPr>
      <w:r>
        <w:rPr>
          <w:bCs/>
          <w:b/>
        </w:rPr>
        <w:t xml:space="preserve">Promotion of Professional Identity:</w:t>
      </w:r>
      <w:r>
        <w:t xml:space="preserve">: Launch public awareness campaigns highlighting the expertise of licensed</w:t>
      </w:r>
    </w:p>
    <w:p>
      <w:pPr>
        <w:numPr>
          <w:ilvl w:val="0"/>
          <w:numId w:val="1000"/>
        </w:numPr>
        <w:pStyle w:val="Compact"/>
      </w:pPr>
      <w:r>
        <w:rPr>
          <w:bCs/>
          <w:b/>
        </w:rPr>
        <w:t xml:space="preserve">Dietitian</w:t>
      </w:r>
      <w:r>
        <w:t xml:space="preserve">s to distinguish them from unqualified wellness influencers.</w:t>
      </w:r>
    </w:p>
    <w:bookmarkEnd w:id="25"/>
    <w:bookmarkStart w:id="26" w:name="conclusion"/>
    <w:p>
      <w:pPr>
        <w:pStyle w:val="Heading2"/>
      </w:pPr>
      <w:r>
        <w:t xml:space="preserve">Conclusion</w:t>
      </w:r>
    </w:p>
    <w:p>
      <w:pPr>
        <w:pStyle w:val="FirstParagraph"/>
      </w:pPr>
      <w:r>
        <w:t xml:space="preserve">The health challenges facing</w:t>
      </w:r>
    </w:p>
    <w:p>
      <w:pPr>
        <w:pStyle w:val="BodyText"/>
      </w:pPr>
      <w:r>
        <w:rPr>
          <w:bCs/>
          <w:b/>
        </w:rPr>
        <w:t xml:space="preserve">Kazakhstan Almaty</w:t>
      </w:r>
      <w:r>
        <w:t xml:space="preserve">, particularly the rise in diet-related chronic diseases, require a multifaceted response. Central to this response is the professionalization and integration of the</w:t>
      </w:r>
    </w:p>
    <w:p>
      <w:pPr>
        <w:pStyle w:val="BodyText"/>
      </w:pPr>
      <w:r>
        <w:rPr>
          <w:bCs/>
          <w:b/>
        </w:rPr>
        <w:t xml:space="preserve">Dietitian</w:t>
      </w:r>
      <w:r>
        <w:t xml:space="preserve"> </w:t>
      </w:r>
      <w:r>
        <w:t xml:space="preserve">into healthcare systems. By leveraging traditional dietary wisdom while adopting modern clinical nutrition science,</w:t>
      </w:r>
    </w:p>
    <w:p>
      <w:pPr>
        <w:pStyle w:val="BodyText"/>
      </w:pPr>
      <w:r>
        <w:rPr>
          <w:bCs/>
          <w:b/>
        </w:rPr>
        <w:t xml:space="preserve">Dietitian</w:t>
      </w:r>
      <w:r>
        <w:t xml:space="preserve">s can play a pivotal role in improving population health in</w:t>
      </w:r>
    </w:p>
    <w:p>
      <w:pPr>
        <w:pStyle w:val="BodyText"/>
      </w:pPr>
      <w:r>
        <w:rPr>
          <w:bCs/>
          <w:b/>
        </w:rPr>
        <w:t xml:space="preserve">Kazakhstan Almaty</w:t>
      </w:r>
      <w:r>
        <w:t xml:space="preserve">. It is our recommendation that stakeholders—including government bodies, healthcare institutions, and educational organizations—prioritize the establishment of a robust dietetic profession. Doing so will not only enhance clinical outcomes but also foster a healthier, more sustainable future for the residents of</w:t>
      </w:r>
    </w:p>
    <w:p>
      <w:pPr>
        <w:pStyle w:val="BodyText"/>
      </w:pPr>
      <w:r>
        <w:rPr>
          <w:bCs/>
          <w:b/>
        </w:rPr>
        <w:t xml:space="preserve">Kazakhstan Almaty</w:t>
      </w:r>
      <w:r>
        <w:t xml:space="preserve">.</w:t>
      </w:r>
    </w:p>
    <w:bookmarkEnd w:id="26"/>
    <w:bookmarkStart w:id="27"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3"/>
        </w:numPr>
        <w:pStyle w:val="Compact"/>
      </w:pPr>
      <w:r>
        <w:t xml:space="preserve">Kazakhstan Ministry of Health. (2023). Annual Report on Non-Communicable Diseases in Urban Centers.</w:t>
      </w:r>
    </w:p>
    <w:p>
      <w:pPr>
        <w:numPr>
          <w:ilvl w:val="0"/>
          <w:numId w:val="1003"/>
        </w:numPr>
        <w:pStyle w:val="Compact"/>
      </w:pPr>
      <w:r>
        <w:t xml:space="preserve">Berezov, T., &amp; Kozhakhmetov, A. (2021). Dietary Transition and Obesity Rates in Central Asia. Journal of Public Health Nutrition, 14(3), 45-58.</w:t>
      </w:r>
    </w:p>
    <w:p>
      <w:pPr>
        <w:numPr>
          <w:ilvl w:val="0"/>
          <w:numId w:val="1003"/>
        </w:numPr>
        <w:pStyle w:val="Compact"/>
      </w:pPr>
      <w:r>
        <w:t xml:space="preserve">National Academy of Sciences of the Republic of Kazakhstan. (2022). Nutritional Guidelines for Adults in Almaty Region.</w:t>
      </w:r>
    </w:p>
    <w:p>
      <w:pPr>
        <w:numPr>
          <w:ilvl w:val="0"/>
          <w:numId w:val="1003"/>
        </w:numPr>
        <w:pStyle w:val="Compact"/>
      </w:pPr>
      <w:r>
        <w:t xml:space="preserve">Sultanova, G. (2020). Traditional Foods and Modern Health: The Case Study of Kazakh Dairy Products. Food Research International, 15(1), 112-130.</w:t>
      </w:r>
    </w:p>
    <w:p>
      <w:pPr>
        <w:numPr>
          <w:ilvl w:val="0"/>
          <w:numId w:val="1003"/>
        </w:numPr>
        <w:pStyle w:val="Compact"/>
      </w:pPr>
      <w:r>
        <w:t xml:space="preserve">World Health Organization Western Pacific Region. (2023). Country Cooperation Strategy for Kazakhstan: Focus on NCD Prevention.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Kazakhstan Almaty: Bridging Traditional Nutrition and Modern Public Health Challenges</dc:title>
  <dc:creator/>
  <dc:language>en</dc:language>
  <cp:keywords/>
  <dcterms:created xsi:type="dcterms:W3CDTF">2026-07-29T02:50:53Z</dcterms:created>
  <dcterms:modified xsi:type="dcterms:W3CDTF">2026-07-29T02:50:53Z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