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Moscow,</w:t>
      </w:r>
      <w:r>
        <w:t xml:space="preserve"> </w:t>
      </w:r>
      <w:r>
        <w:t xml:space="preserve">Russia: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Policy</w:t>
      </w:r>
    </w:p>
    <w:bookmarkStart w:id="30" w:name="Xf8fb8d68ba6ebc0f4fec18a9a1c7fc42182b01e"/>
    <w:p>
      <w:pPr>
        <w:pStyle w:val="Heading1"/>
      </w:pPr>
      <w:r>
        <w:t xml:space="preserve">The Evolving Role of the Dietitian in Moscow, Russia:</w:t>
      </w:r>
      <w:r>
        <w:br/>
      </w:r>
      <w:r>
        <w:t xml:space="preserve">Bridging Clinical Practice and Public Health Policy</w:t>
      </w:r>
    </w:p>
    <w:p>
      <w:pPr>
        <w:pStyle w:val="FirstParagraph"/>
      </w:pPr>
      <w:r>
        <w:rPr>
          <w:bCs/>
          <w:b/>
        </w:rPr>
        <w:t xml:space="preserve">[Author Name Placeholder]</w:t>
      </w:r>
      <w:r>
        <w:br/>
      </w:r>
      <w:r>
        <w:t xml:space="preserve">Institute of Clinical Nutrition and Metabolic Sciences</w:t>
      </w:r>
      <w:r>
        <w:br/>
      </w:r>
      <w:r>
        <w:t xml:space="preserve">Moscow, Russian Federation</w:t>
      </w:r>
    </w:p>
    <w:p>
      <w:pPr>
        <w:pStyle w:val="BodyText"/>
      </w:pPr>
      <w:r>
        <w:rPr>
          <w:bCs/>
          <w:b/>
        </w:rPr>
        <w:t xml:space="preserve">Abstract:</w:t>
      </w:r>
    </w:p>
    <w:p>
      <w:pPr>
        <w:pStyle w:val="BodyText"/>
      </w:pPr>
      <w:r>
        <w:t xml:space="preserve">This article examines the professional development, regulatory framework, and clinical impact of the dietitian in Moscow, Russia. As the epidemiological landscape shifts from infectious diseases to non-communicable chronic conditions such as obesity and type 2 diabetes, the role of medical nutrition therapy has become critical. This paper analyzes the current state of dietetic practice within Moscow’s healthcare system, highlighting the integration of clinical nutrition into hospital protocols and community health initiatives. It further discusses the challenges regarding standardized education, professional recognition under Russian Federal Law No. 323-FZ "On Fundamentals of Health Protection," and future directions for expanding the scope of practice for dietitians in Russia’s capital.</w:t>
      </w:r>
    </w:p>
    <w:bookmarkStart w:id="20" w:name="introduction"/>
    <w:p>
      <w:pPr>
        <w:pStyle w:val="Heading2"/>
      </w:pPr>
      <w:r>
        <w:t xml:space="preserve">1. Introduction</w:t>
      </w:r>
    </w:p>
    <w:p>
      <w:pPr>
        <w:pStyle w:val="FirstParagraph"/>
      </w:pPr>
      <w:r>
        <w:t xml:space="preserve">The public health profile of Moscow, the capital city and largest metropolitan area in Russia, has undergone a significant transformation over the past three decades. Historically dominated by mortality rates linked to cardiovascular disease and infectious pathogens, contemporary health challenges in Russia are increasingly characterized by lifestyle-related non-communicable diseases (NCDs). Within this complex epidemiological transition, the</w:t>
      </w:r>
      <w:r>
        <w:t xml:space="preserve"> </w:t>
      </w:r>
      <w:r>
        <w:rPr>
          <w:bCs/>
          <w:b/>
        </w:rPr>
        <w:t xml:space="preserve">Dietitian</w:t>
      </w:r>
      <w:r>
        <w:t xml:space="preserve"> </w:t>
      </w:r>
      <w:r>
        <w:t xml:space="preserve">has emerged as a pivotal figure in interdisciplinary healthcare teams.</w:t>
      </w:r>
    </w:p>
    <w:p>
      <w:pPr>
        <w:pStyle w:val="BodyText"/>
      </w:pPr>
      <w:r>
        <w:t xml:space="preserve">In many Western healthcare systems, clinical dietitians have long been recognized as essential providers of Medical Nutrition Therapy (MNT). However, in Russia, the title and specific scope of practice for nutrition professionals have historically been ambiguous. While physicians (therapists) traditionally managed dietary prescriptions, the specialized role of a trained</w:t>
      </w:r>
      <w:r>
        <w:t xml:space="preserve"> </w:t>
      </w:r>
      <w:r>
        <w:rPr>
          <w:bCs/>
          <w:b/>
        </w:rPr>
        <w:t xml:space="preserve">Dietitian</w:t>
      </w:r>
      <w:r>
        <w:t xml:space="preserve">—distinct from a general wellness coach or chef—is only recently gaining formal traction. This article explores how Moscow serves as a pioneer in defining this role within the broader Russian healthcare context.</w:t>
      </w:r>
    </w:p>
    <w:bookmarkEnd w:id="20"/>
    <w:bookmarkStart w:id="21" w:name="X672a76402795319e4002942a7db1d43ff9e39c4"/>
    <w:p>
      <w:pPr>
        <w:pStyle w:val="Heading2"/>
      </w:pPr>
      <w:r>
        <w:t xml:space="preserve">2. Regulatory Framework and Professional Identity</w:t>
      </w:r>
    </w:p>
    <w:p>
      <w:pPr>
        <w:pStyle w:val="FirstParagraph"/>
      </w:pPr>
      <w:r>
        <w:t xml:space="preserve">The legal foundation for dietary practice in Russia is primarily governed by Federal Law No. 323-FZ "On Fundamentals of Health Protection of Citizens in the Russian Federation." Under this legislation, the provision of nutritional counseling is often categorized under general therapeutic care rather than a distinct specialty. Consequently, many individuals providing nutritional advice hold titles such as "nurse" or "physiotherapist" with additional certification courses in nutrition.</w:t>
      </w:r>
    </w:p>
    <w:p>
      <w:pPr>
        <w:pStyle w:val="BodyText"/>
      </w:pPr>
      <w:r>
        <w:t xml:space="preserve">In</w:t>
      </w:r>
      <w:r>
        <w:t xml:space="preserve"> </w:t>
      </w:r>
      <w:r>
        <w:rPr>
          <w:bCs/>
          <w:b/>
        </w:rPr>
        <w:t xml:space="preserve">Russia Moscow</w:t>
      </w:r>
      <w:r>
        <w:t xml:space="preserve">, however, there is a growing movement toward professionalization. Leading academic institutions, including the First Moscow State Medical University (Sechenov University) and the Research Center of Nutrition and Biotechnology Foods, are integrating advanced clinical nutrition curricula into their medical programs. The distinction between a general health consultant and a qualified</w:t>
      </w:r>
      <w:r>
        <w:t xml:space="preserve"> </w:t>
      </w:r>
      <w:r>
        <w:rPr>
          <w:bCs/>
          <w:b/>
        </w:rPr>
        <w:t xml:space="preserve">Dietitian</w:t>
      </w:r>
      <w:r>
        <w:t xml:space="preserve"> </w:t>
      </w:r>
      <w:r>
        <w:t xml:space="preserve">is becoming clearer in private practice sectors within Moscow. These professionals utilize evidence-based methodologies to manage metabolic disorders, ensuring that dietary interventions are prescribed with the same rigor as pharmacological treatments.</w:t>
      </w:r>
    </w:p>
    <w:bookmarkEnd w:id="21"/>
    <w:bookmarkStart w:id="24" w:name="X522e791a81b8575b3afcf8027f5d9b4da38eb8f"/>
    <w:p>
      <w:pPr>
        <w:pStyle w:val="Heading2"/>
      </w:pPr>
      <w:r>
        <w:t xml:space="preserve">3. Clinical Nutrition in Moscow’s Healthcare System</w:t>
      </w:r>
    </w:p>
    <w:p>
      <w:pPr>
        <w:pStyle w:val="FirstParagraph"/>
      </w:pPr>
      <w:r>
        <w:t xml:space="preserve">Moscow possesses one of the most advanced healthcare infrastructures in Russia, boasting a high density of specialized medical centers. In recent years, major municipal hospitals and clinical centers in</w:t>
      </w:r>
      <w:r>
        <w:t xml:space="preserve"> </w:t>
      </w:r>
      <w:r>
        <w:rPr>
          <w:bCs/>
          <w:b/>
        </w:rPr>
        <w:t xml:space="preserve">Russia Moscow</w:t>
      </w:r>
      <w:r>
        <w:t xml:space="preserve"> </w:t>
      </w:r>
      <w:r>
        <w:t xml:space="preserve">have begun to institutionalize the role of the dietitian within their departments for endocrinology, gastroenterology, and oncology.</w:t>
      </w:r>
    </w:p>
    <w:bookmarkStart w:id="22" w:name="management-of-metabolic-syndrome"/>
    <w:p>
      <w:pPr>
        <w:pStyle w:val="Heading3"/>
      </w:pPr>
      <w:r>
        <w:t xml:space="preserve">3.1 Management of Metabolic Syndrome</w:t>
      </w:r>
    </w:p>
    <w:p>
      <w:pPr>
        <w:pStyle w:val="FirstParagraph"/>
      </w:pPr>
      <w:r>
        <w:t xml:space="preserve">The prevalence of metabolic syndrome among adults in Moscow has prompted local health authorities to prioritize preventive care.</w:t>
      </w:r>
      <w:r>
        <w:t xml:space="preserve"> </w:t>
      </w:r>
      <w:r>
        <w:rPr>
          <w:bCs/>
          <w:b/>
        </w:rPr>
        <w:t xml:space="preserve">Dietitians</w:t>
      </w:r>
      <w:r>
        <w:t xml:space="preserve"> </w:t>
      </w:r>
      <w:r>
        <w:t xml:space="preserve">are increasingly employed in diabetes clinics to provide individualized meal planning that accounts for the specific caloric and macronutrient needs of patients. This approach not only improves glycemic control but also reduces the long-term burden on the healthcare system by preventing complications such as neuropathy and retinopathy.</w:t>
      </w:r>
    </w:p>
    <w:bookmarkEnd w:id="22"/>
    <w:bookmarkStart w:id="23" w:name="post-acute-care-and-rehabilitation"/>
    <w:p>
      <w:pPr>
        <w:pStyle w:val="Heading3"/>
      </w:pPr>
      <w:r>
        <w:t xml:space="preserve">3.2 Post-Acute Care and Rehabilitation</w:t>
      </w:r>
    </w:p>
    <w:p>
      <w:pPr>
        <w:pStyle w:val="FirstParagraph"/>
      </w:pPr>
      <w:r>
        <w:t xml:space="preserve">In the context of post-stroke and post-surgical rehabilitation, which is prevalent in aging urban populations like those in</w:t>
      </w:r>
      <w:r>
        <w:t xml:space="preserve"> </w:t>
      </w:r>
      <w:r>
        <w:rPr>
          <w:bCs/>
          <w:b/>
        </w:rPr>
        <w:t xml:space="preserve">Russia Moscow</w:t>
      </w:r>
      <w:r>
        <w:t xml:space="preserve">, the role of the</w:t>
      </w:r>
      <w:r>
        <w:t xml:space="preserve"> </w:t>
      </w:r>
      <w:r>
        <w:rPr>
          <w:bCs/>
          <w:b/>
        </w:rPr>
        <w:t xml:space="preserve">Dietitian</w:t>
      </w:r>
      <w:r>
        <w:t xml:space="preserve"> </w:t>
      </w:r>
      <w:r>
        <w:t xml:space="preserve">is critical for recovery. Malnutrition remains a significant risk factor for poor outcomes in hospitalized patients. By implementing standardized screening tools and initiating early nutritional support, dietitians contribute to shorter hospital stays and improved quality of life for patients.</w:t>
      </w:r>
    </w:p>
    <w:bookmarkEnd w:id="23"/>
    <w:bookmarkEnd w:id="24"/>
    <w:bookmarkStart w:id="25" w:name="educational-pathways-and-standardization"/>
    <w:p>
      <w:pPr>
        <w:pStyle w:val="Heading2"/>
      </w:pPr>
      <w:r>
        <w:t xml:space="preserve">4. Educational Pathways and Standardization</w:t>
      </w:r>
    </w:p>
    <w:p>
      <w:pPr>
        <w:pStyle w:val="FirstParagraph"/>
      </w:pPr>
      <w:r>
        <w:t xml:space="preserve">A major challenge facing the profession is the lack of a unified national standard for clinical</w:t>
      </w:r>
      <w:r>
        <w:t xml:space="preserve"> </w:t>
      </w:r>
      <w:r>
        <w:rPr>
          <w:bCs/>
          <w:b/>
        </w:rPr>
        <w:t xml:space="preserve">Dietitians</w:t>
      </w:r>
      <w:r>
        <w:t xml:space="preserve">. In</w:t>
      </w:r>
      <w:r>
        <w:t xml:space="preserve"> </w:t>
      </w:r>
      <w:r>
        <w:rPr>
          <w:bCs/>
          <w:b/>
        </w:rPr>
        <w:t xml:space="preserve">Russia Moscow</w:t>
      </w:r>
      <w:r>
        <w:t xml:space="preserve">, aspiring professionals often pursue secondary vocational education followed by additional professional training, or they may complete higher medical education with a specialization in therapy. There is an urgent need for accredited university-level degrees specifically in Clinical Nutrition and Dietetics.</w:t>
      </w:r>
    </w:p>
    <w:p>
      <w:pPr>
        <w:pStyle w:val="BodyText"/>
      </w:pPr>
      <w:r>
        <w:t xml:space="preserve">To address this, several Moscow-based universities have introduced master’s programs focused on clinical nutrition. These programs emphasize biochemistry, physiology of digestion, and the sociological aspects of eating habits specific to Russian cuisine and culture. Standardizing these educational pathways is essential for establishing a credible professional identity that can negotiate with health insurance providers and government regulators.</w:t>
      </w:r>
    </w:p>
    <w:bookmarkEnd w:id="25"/>
    <w:bookmarkStart w:id="26" w:name="X1fb6c66f2f78d6b659dc26a9ad24858bbd4a9b7"/>
    <w:p>
      <w:pPr>
        <w:pStyle w:val="Heading2"/>
      </w:pPr>
      <w:r>
        <w:t xml:space="preserve">5. Cultural Considerations in Dietary Practice</w:t>
      </w:r>
    </w:p>
    <w:p>
      <w:pPr>
        <w:pStyle w:val="FirstParagraph"/>
      </w:pPr>
      <w:r>
        <w:t xml:space="preserve">A competent</w:t>
      </w:r>
      <w:r>
        <w:t xml:space="preserve"> </w:t>
      </w:r>
      <w:r>
        <w:rPr>
          <w:bCs/>
          <w:b/>
        </w:rPr>
        <w:t xml:space="preserve">Dietitian</w:t>
      </w:r>
      <w:r>
        <w:t xml:space="preserve"> </w:t>
      </w:r>
      <w:r>
        <w:t xml:space="preserve">practicing in</w:t>
      </w:r>
      <w:r>
        <w:t xml:space="preserve"> </w:t>
      </w:r>
      <w:r>
        <w:rPr>
          <w:bCs/>
          <w:b/>
        </w:rPr>
        <w:t xml:space="preserve">Russia Moscow</w:t>
      </w:r>
      <w:r>
        <w:t xml:space="preserve"> </w:t>
      </w:r>
      <w:r>
        <w:t xml:space="preserve">must possess deep cultural competence. The traditional Russian diet, rich in carbohydrates, fats, and preserved foods, poses unique challenges for modern nutritional interventions. Successful dietary counseling requires more than just calculating caloric intake; it involves understanding the social and psychological role of food in Russian culture.</w:t>
      </w:r>
    </w:p>
    <w:p>
      <w:pPr>
        <w:pStyle w:val="BodyText"/>
      </w:pPr>
      <w:r>
        <w:t xml:space="preserve">Dietitians are developing culturally sensitive guidelines that adapt global best practices to local realities. For instance, rather than prescribing Western-centric diets, they focus on modifying traditional recipes—reducing salt in pickles, adjusting fat content in soups (such as borscht), and promoting whole-grain alternatives within the context of familiar meals. This approach increases patient adherence and respects cultural heritage while achieving clinical goals.</w:t>
      </w:r>
    </w:p>
    <w:bookmarkEnd w:id="26"/>
    <w:bookmarkStart w:id="27" w:name="X27d7ad7c0093c3ed3010d181c44c528f523366b"/>
    <w:p>
      <w:pPr>
        <w:pStyle w:val="Heading2"/>
      </w:pPr>
      <w:r>
        <w:t xml:space="preserve">6. Future Directions and Policy Recommendations</w:t>
      </w:r>
    </w:p>
    <w:p>
      <w:pPr>
        <w:pStyle w:val="FirstParagraph"/>
      </w:pPr>
      <w:r>
        <w:t xml:space="preserve">The future of dietetics in</w:t>
      </w:r>
      <w:r>
        <w:t xml:space="preserve"> </w:t>
      </w:r>
      <w:r>
        <w:rPr>
          <w:bCs/>
          <w:b/>
        </w:rPr>
        <w:t xml:space="preserve">Russia Moscow</w:t>
      </w:r>
      <w:r>
        <w:t xml:space="preserve"> </w:t>
      </w:r>
      <w:r>
        <w:t xml:space="preserve">holds significant promise, provided that regulatory barriers are addressed. The following recommendations are proposed for policymakers and healthcare administrators:</w:t>
      </w:r>
    </w:p>
    <w:p>
      <w:pPr>
        <w:numPr>
          <w:ilvl w:val="0"/>
          <w:numId w:val="1001"/>
        </w:numPr>
        <w:pStyle w:val="Compact"/>
      </w:pPr>
      <w:r>
        <w:rPr>
          <w:bCs/>
          <w:b/>
        </w:rPr>
        <w:t xml:space="preserve">Legislative Clarification:</w:t>
      </w:r>
      <w:r>
        <w:t xml:space="preserve"> </w:t>
      </w:r>
      <w:r>
        <w:t xml:space="preserve">Define "Clinical Dietitian" as a distinct medical specialty within the Russian Ministry of Health’s nomenclature, allowing for independent billing and prescription rights.</w:t>
      </w:r>
    </w:p>
    <w:p>
      <w:pPr>
        <w:numPr>
          <w:ilvl w:val="0"/>
          <w:numId w:val="1001"/>
        </w:numPr>
        <w:pStyle w:val="Compact"/>
      </w:pPr>
      <w:r>
        <w:rPr>
          <w:bCs/>
          <w:b/>
        </w:rPr>
        <w:t xml:space="preserve">Mandatory Screening:</w:t>
      </w:r>
      <w:r>
        <w:t xml:space="preserve"> </w:t>
      </w:r>
      <w:r>
        <w:t xml:space="preserve">Implement protocols requiring nutritional screening by a</w:t>
      </w:r>
      <w:r>
        <w:t xml:space="preserve"> </w:t>
      </w:r>
      <w:r>
        <w:rPr>
          <w:bCs/>
          <w:b/>
        </w:rPr>
        <w:t xml:space="preserve">Dietitian</w:t>
      </w:r>
      <w:r>
        <w:t xml:space="preserve"> </w:t>
      </w:r>
      <w:r>
        <w:t xml:space="preserve">for all patients admitted to Moscow hospitals with NCDs.</w:t>
      </w:r>
    </w:p>
    <w:p>
      <w:pPr>
        <w:numPr>
          <w:ilvl w:val="0"/>
          <w:numId w:val="1001"/>
        </w:numPr>
        <w:pStyle w:val="Compact"/>
      </w:pPr>
      <w:r>
        <w:rPr>
          <w:bCs/>
          <w:b/>
        </w:rPr>
        <w:t xml:space="preserve">National Certification:</w:t>
      </w:r>
      <w:r>
        <w:t xml:space="preserve"> </w:t>
      </w:r>
      <w:r>
        <w:t xml:space="preserve">Establish a unified national certification exam for clinical dietitians to ensure quality control and professional standardization across the federation.</w:t>
      </w:r>
    </w:p>
    <w:p>
      <w:pPr>
        <w:numPr>
          <w:ilvl w:val="0"/>
          <w:numId w:val="1001"/>
        </w:numPr>
        <w:pStyle w:val="Compact"/>
      </w:pPr>
      <w:r>
        <w:rPr>
          <w:bCs/>
          <w:b/>
        </w:rPr>
        <w:t xml:space="preserve">Educational Expansion:</w:t>
      </w:r>
      <w:r>
        <w:t xml:space="preserve"> </w:t>
      </w:r>
      <w:r>
        <w:t xml:space="preserve">Encourage more medical universities in regions outside Moscow to adopt standardized clinical nutrition curricula, thereby decentralizing expertise.</w:t>
      </w:r>
    </w:p>
    <w:bookmarkEnd w:id="27"/>
    <w:bookmarkStart w:id="28" w:name="conclusion"/>
    <w:p>
      <w:pPr>
        <w:pStyle w:val="Heading2"/>
      </w:pPr>
      <w:r>
        <w:t xml:space="preserve">7. Conclusion</w:t>
      </w:r>
    </w:p>
    <w:p>
      <w:pPr>
        <w:pStyle w:val="FirstParagraph"/>
      </w:pPr>
      <w:r>
        <w:t xml:space="preserve">The integration of the</w:t>
      </w:r>
      <w:r>
        <w:t xml:space="preserve"> </w:t>
      </w:r>
      <w:r>
        <w:rPr>
          <w:bCs/>
          <w:b/>
        </w:rPr>
        <w:t xml:space="preserve">Dietitian</w:t>
      </w:r>
      <w:r>
        <w:t xml:space="preserve"> </w:t>
      </w:r>
      <w:r>
        <w:t xml:space="preserve">into the healthcare system of</w:t>
      </w:r>
      <w:r>
        <w:t xml:space="preserve"> </w:t>
      </w:r>
      <w:r>
        <w:rPr>
          <w:bCs/>
          <w:b/>
        </w:rPr>
        <w:t xml:space="preserve">Russia Moscow</w:t>
      </w:r>
      <w:r>
        <w:t xml:space="preserve"> </w:t>
      </w:r>
      <w:r>
        <w:t xml:space="preserve">represents a critical step toward addressing the rising tide of chronic diseases. While challenges regarding legal recognition and educational standardization persist, the trajectory is positive. By leveraging Moscow’s robust academic and medical infrastructure, Russia can develop a model where clinical nutrition is not an adjunct service but a cornerstone of preventive and curative healthcare. As the profession evolves, it will play an indispensable role in improving the health outcomes of millions of citizens across</w:t>
      </w:r>
      <w:r>
        <w:t xml:space="preserve"> </w:t>
      </w:r>
      <w:r>
        <w:rPr>
          <w:bCs/>
          <w:b/>
        </w:rPr>
        <w:t xml:space="preserve">Russia</w:t>
      </w:r>
      <w:r>
        <w:t xml:space="preserve">.</w:t>
      </w:r>
    </w:p>
    <w:bookmarkEnd w:id="28"/>
    <w:bookmarkStart w:id="29" w:name="references"/>
    <w:p>
      <w:pPr>
        <w:pStyle w:val="Heading2"/>
      </w:pPr>
      <w:r>
        <w:t xml:space="preserve">References</w:t>
      </w:r>
    </w:p>
    <w:p>
      <w:pPr>
        <w:pStyle w:val="FirstParagraph"/>
      </w:pPr>
      <w:r>
        <w:rPr>
          <w:iCs/>
          <w:i/>
        </w:rPr>
        <w:t xml:space="preserve">(Note: References are illustrative for academic format)</w:t>
      </w:r>
    </w:p>
    <w:p>
      <w:pPr>
        <w:numPr>
          <w:ilvl w:val="0"/>
          <w:numId w:val="1002"/>
        </w:numPr>
        <w:pStyle w:val="Compact"/>
      </w:pPr>
      <w:r>
        <w:t xml:space="preserve">[1] Federal Law No. 323-FZ "On Fundamentals of Health Protection of Citizens in the Russian Federation." Moscow, Russia, 2011.</w:t>
      </w:r>
    </w:p>
    <w:p>
      <w:pPr>
        <w:numPr>
          <w:ilvl w:val="0"/>
          <w:numId w:val="1002"/>
        </w:numPr>
        <w:pStyle w:val="Compact"/>
      </w:pPr>
      <w:r>
        <w:t xml:space="preserve">[2] Shalnova, O. A., et al. "Dietary patterns and cardiovascular risk factors among adults in the Moscow region."</w:t>
      </w:r>
      <w:r>
        <w:t xml:space="preserve"> </w:t>
      </w:r>
      <w:r>
        <w:rPr>
          <w:iCs/>
          <w:i/>
        </w:rPr>
        <w:t xml:space="preserve">Russian Journal of Cardiology</w:t>
      </w:r>
      <w:r>
        <w:t xml:space="preserve">, 2019.</w:t>
      </w:r>
    </w:p>
    <w:p>
      <w:pPr>
        <w:numPr>
          <w:ilvl w:val="0"/>
          <w:numId w:val="1002"/>
        </w:numPr>
        <w:pStyle w:val="Compact"/>
      </w:pPr>
      <w:r>
        <w:t xml:space="preserve">[3] Research Center of Nutrition and Biotechnology Foods. "Strategies for improving the nutritional status of the population in Russia." Moscow, 2021.</w:t>
      </w:r>
    </w:p>
    <w:p>
      <w:pPr>
        <w:numPr>
          <w:ilvl w:val="0"/>
          <w:numId w:val="1002"/>
        </w:numPr>
        <w:pStyle w:val="Compact"/>
      </w:pPr>
      <w:r>
        <w:t xml:space="preserve">[4] Sechenov University Department of Hospital Therapy. "Clinical guidelines for medical nutrition therapy." Moscow,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Moscow, Russia: Bridging Clinical Practice and Public Health Policy</dc:title>
  <dc:creator/>
  <dc:language>en</dc:language>
  <cp:keywords/>
  <dcterms:created xsi:type="dcterms:W3CDTF">2026-07-29T12:24:48Z</dcterms:created>
  <dcterms:modified xsi:type="dcterms:W3CDTF">2026-07-29T12:24:48Z</dcterms:modified>
</cp:coreProperties>
</file>

<file path=docProps/custom.xml><?xml version="1.0" encoding="utf-8"?>
<Properties xmlns="http://schemas.openxmlformats.org/officeDocument/2006/custom-properties" xmlns:vt="http://schemas.openxmlformats.org/officeDocument/2006/docPropsVTypes"/>
</file>