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Dietitians</w:t>
      </w:r>
      <w:r>
        <w:t xml:space="preserve"> </w:t>
      </w:r>
      <w:r>
        <w:t xml:space="preserve">in</w:t>
      </w:r>
      <w:r>
        <w:t xml:space="preserve"> </w:t>
      </w:r>
      <w:r>
        <w:t xml:space="preserve">Public</w:t>
      </w:r>
      <w:r>
        <w:t xml:space="preserve"> </w:t>
      </w:r>
      <w:r>
        <w:t xml:space="preserve">Health: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Saudi</w:t>
      </w:r>
      <w:r>
        <w:t xml:space="preserve"> </w:t>
      </w:r>
      <w:r>
        <w:t xml:space="preserve">Arabia,</w:t>
      </w:r>
      <w:r>
        <w:t xml:space="preserve"> </w:t>
      </w:r>
      <w:r>
        <w:t xml:space="preserve">Riyadh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Dietitians in Public Health: A Focus on Saudi Arabia, Riyadh</dc:title>
  <dc:creator/>
  <dc:language>en</dc:language>
  <cp:keywords/>
  <dcterms:created xsi:type="dcterms:W3CDTF">2026-09-26T21:53:46Z</dcterms:created>
  <dcterms:modified xsi:type="dcterms:W3CDTF">2026-09-26T21:53:46Z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