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8" w:name="Xa49a8f954500f2eeb2dc40a2195e3e8ef60076c"/>
    <w:p>
      <w:pPr>
        <w:pStyle w:val="Heading1"/>
      </w:pPr>
      <w:r>
        <w:t xml:space="preserve">The Role of the Doctor General Practitioner in South Africa Cape Town : Challenges and Opportunities</w:t>
      </w:r>
    </w:p>
    <w:p>
      <w:pPr>
        <w:pStyle w:val="FirstParagraph"/>
      </w:pPr>
      <w:r>
        <w:rPr>
          <w:bCs/>
          <w:b/>
        </w:rPr>
        <w:t xml:space="preserve">Abstract</w:t>
      </w:r>
    </w:p>
    <w:p>
      <w:pPr>
        <w:pStyle w:val="BodyText"/>
      </w:pPr>
      <w:r>
        <w:t xml:space="preserve">This article explores the critical role of the Doctor General Practitioner within the unique healthcare landscape of South Africa, with a specific focus on Cape Town. As a gateway to both public and private healthcare systems, general practitioners (GPs) face distinct challenges ranging from resource constraints in under-resourced communities to managing complex chronic diseases prevalent in urban settings. This paper examines current trends, systemic pressures, and the evolving scope of practice for GPs in this dynamic metropolitan area.</w:t>
      </w:r>
    </w:p>
    <w:bookmarkStart w:id="20" w:name="introduction"/>
    <w:p>
      <w:pPr>
        <w:pStyle w:val="Heading2"/>
      </w:pPr>
      <w:r>
        <w:t xml:space="preserve">Introduction</w:t>
      </w:r>
    </w:p>
    <w:p>
      <w:pPr>
        <w:pStyle w:val="FirstParagraph"/>
      </w:pPr>
      <w:r>
        <w:t xml:space="preserve">In the healthcare ecosystem of South Africa, the Doctor General Practitioner serves as a pivotal figure in primary care delivery. In Cape Town, a city characterized by stark socioeconomic disparities and a dualistic healthcare system—comprising well-resourced private facilities and often overstretched public clinics—the GP plays an indispensable role. This article discusses how GPs navigate these complexities, addressing both the urgent needs of diverse populations and the systemic challenges inherent to the South African context.</w:t>
      </w:r>
    </w:p>
    <w:bookmarkEnd w:id="20"/>
    <w:bookmarkStart w:id="22" w:name="the-dual-healthcare-landscape"/>
    <w:p>
      <w:pPr>
        <w:pStyle w:val="Heading2"/>
      </w:pPr>
      <w:r>
        <w:t xml:space="preserve">The Dual Healthcare Landscape</w:t>
      </w:r>
    </w:p>
    <w:p>
      <w:pPr>
        <w:pStyle w:val="FirstParagraph"/>
      </w:pPr>
      <w:r>
        <w:t xml:space="preserve">South Africa operates under a two-tiered health system. The private sector serves approximately 16% of the population, who can afford medical aid schemes, while the public sector caters to the remaining 84%, primarily relying on government-funded services. In Cape Town, this divide is particularly visible. GPs in affluent suburbs often operate high-tech practices with immediate access to specialists and diagnostic tools. Conversely, those serving townships like Khayelitsha or Mitchell’s Plain face significant challenges, including overcrowding, limited resources, and higher patient volumes.</w:t>
      </w:r>
    </w:p>
    <w:bookmarkStart w:id="21" w:name="impact-on-patient-access"/>
    <w:p>
      <w:pPr>
        <w:pStyle w:val="Heading3"/>
      </w:pPr>
      <w:r>
        <w:t xml:space="preserve">Impact on Patient Access</w:t>
      </w:r>
    </w:p>
    <w:p>
      <w:pPr>
        <w:pStyle w:val="FirstParagraph"/>
      </w:pPr>
      <w:r>
        <w:t xml:space="preserve">The disparity affects patient outcomes significantly. In the public sector, GPs often act as de facto specialists due to the scarcity of secondary care providers. They manage complex cases that would typically be referred elsewhere in more resourced settings. This 'task shifting' increases their workload but ensures continuity of care for underserved communities.</w:t>
      </w:r>
    </w:p>
    <w:bookmarkEnd w:id="21"/>
    <w:bookmarkEnd w:id="22"/>
    <w:bookmarkStart w:id="23" w:name="prevalence-of-chronic-diseases"/>
    <w:p>
      <w:pPr>
        <w:pStyle w:val="Heading2"/>
      </w:pPr>
      <w:r>
        <w:t xml:space="preserve">Prevalence of Chronic Diseases</w:t>
      </w:r>
    </w:p>
    <w:p>
      <w:pPr>
        <w:pStyle w:val="FirstParagraph"/>
      </w:pPr>
      <w:r>
        <w:t xml:space="preserve">Cape Town, like much of South Africa, faces a double burden of disease: communicable diseases such as HIV/AIDS and tuberculosis (TB), alongside a rising prevalence of non-communicable diseases (NCDs) like hypertension, diabetes, and cardiovascular disorders. GPs are at the forefront of managing these conditions.</w:t>
      </w:r>
    </w:p>
    <w:p>
      <w:pPr>
        <w:numPr>
          <w:ilvl w:val="0"/>
          <w:numId w:val="1001"/>
        </w:numPr>
        <w:pStyle w:val="Compact"/>
      </w:pPr>
      <w:r>
        <w:rPr>
          <w:bCs/>
          <w:b/>
        </w:rPr>
        <w:t xml:space="preserve">HIV/AIDS Management:</w:t>
      </w:r>
      <w:r>
        <w:t xml:space="preserve"> </w:t>
      </w:r>
      <w:r>
        <w:t xml:space="preserve">Despite progress in antiretroviral therapy (ART) access, ongoing monitoring and adherence counseling remain critical responsibilities for GPs.</w:t>
      </w:r>
    </w:p>
    <w:bookmarkEnd w:id="23"/>
    <w:bookmarkStart w:id="24" w:name="professional-challenges"/>
    <w:p>
      <w:pPr>
        <w:pStyle w:val="Heading2"/>
      </w:pPr>
      <w:r>
        <w:t xml:space="preserve">Professional Challenges</w:t>
      </w:r>
    </w:p>
    <w:p>
      <w:pPr>
        <w:pStyle w:val="FirstParagraph"/>
      </w:pPr>
      <w:r>
        <w:t xml:space="preserve">GPs in Cape Town encounter several professional challenges that impact their practice and patient care quality.</w:t>
      </w:r>
    </w:p>
    <w:p>
      <w:pPr>
        <w:numPr>
          <w:ilvl w:val="0"/>
          <w:numId w:val="1002"/>
        </w:numPr>
        <w:pStyle w:val="Compact"/>
      </w:pPr>
      <w:r>
        <w:t xml:space="preserve">Burnout and Mental Health: High patient loads, particularly in the public sector, contribute to significant stress and burnout among doctors. The emotional toll of managing severe illness amidst resource limitations is substantial.</w:t>
      </w:r>
    </w:p>
    <w:p>
      <w:pPr>
        <w:numPr>
          <w:ilvl w:val="0"/>
          <w:numId w:val="1002"/>
        </w:numPr>
        <w:pStyle w:val="Compact"/>
      </w:pPr>
      <w:r>
        <w:t xml:space="preserve">Continuing Professional Development (CPD): Keeping up-to-date with medical advancements while managing a heavy workload is difficult. Access to CPD opportunities can be limited for GPs working in remote or under-resourced areas.</w:t>
      </w:r>
    </w:p>
    <w:p>
      <w:pPr>
        <w:numPr>
          <w:ilvl w:val="0"/>
          <w:numId w:val="1002"/>
        </w:numPr>
        <w:pStyle w:val="Compact"/>
      </w:pPr>
      <w:r>
        <w:t xml:space="preserve">Financial Sustainability: For private practice GPs, fluctuating economic conditions and competition from chain clinics affect profitability. In the public sector, administrative burdens and bureaucratic hurdles can hinder efficient service delivery.</w:t>
      </w:r>
    </w:p>
    <w:bookmarkEnd w:id="24"/>
    <w:bookmarkStart w:id="25" w:name="innovations-and-opportunities"/>
    <w:p>
      <w:pPr>
        <w:pStyle w:val="Heading2"/>
      </w:pPr>
      <w:r>
        <w:t xml:space="preserve">Innovations and Opportunities</w:t>
      </w:r>
    </w:p>
    <w:p>
      <w:pPr>
        <w:pStyle w:val="FirstParagraph"/>
      </w:pPr>
      <w:r>
        <w:t xml:space="preserve">Despite these challenges, there are promising developments in primary care delivery in Cape Town.</w:t>
      </w:r>
    </w:p>
    <w:p>
      <w:pPr>
        <w:pStyle w:val="BodyText"/>
      </w:pPr>
      <w:r>
        <w:t xml:space="preserve">Telemedicine: The expansion of telehealth services has improved access to specialist advice for GPs in rural or underserved urban areas. This technology enables better triage and management decisions without requiring immediate patient transfer.</w:t>
      </w:r>
    </w:p>
    <w:p>
      <w:pPr>
        <w:pStyle w:val="BodyText"/>
      </w:pPr>
      <w:r>
        <w:t xml:space="preserve">Community Health Worker Integration: Collaborative models involving GPs, nurses, and community health workers have shown success in improving outreach and preventive care.</w:t>
      </w:r>
    </w:p>
    <w:p>
      <w:pPr>
        <w:pStyle w:val="BodyText"/>
      </w:pPr>
      <w:r>
        <w:t xml:space="preserve">Policy Reforms: The National Health Insurance (NHI) bill aims to unify the healthcare system. While still evolving, it promises to provide a framework for equitable resource allocation and potentially reduce disparities faced by GPs serving different populations.</w:t>
      </w:r>
    </w:p>
    <w:bookmarkEnd w:id="25"/>
    <w:bookmarkStart w:id="26" w:name="conclusion"/>
    <w:p>
      <w:pPr>
        <w:pStyle w:val="Heading2"/>
      </w:pPr>
      <w:r>
        <w:t xml:space="preserve">Conclusion</w:t>
      </w:r>
    </w:p>
    <w:p>
      <w:pPr>
        <w:pStyle w:val="FirstParagraph"/>
      </w:pPr>
      <w:r>
        <w:t xml:space="preserve">The Doctor General Practitioner in South Africa, particularly in Cape Town, operates at the intersection of critical need and systemic complexity. They are essential providers who bridge gaps in care, manage multifaceted disease burdens, and advocate for vulnerable populations. Addressing the challenges they face—through improved support systems, technological integration, and policy reform—is crucial for enhancing healthcare outcomes across the region. Investing in primary care strengthens the foundation of a resilient health system capable of addressing both current and future public health demands.</w:t>
      </w:r>
    </w:p>
    <w:bookmarkEnd w:id="26"/>
    <w:bookmarkStart w:id="27" w:name="references"/>
    <w:p>
      <w:pPr>
        <w:pStyle w:val="Heading2"/>
      </w:pPr>
      <w:r>
        <w:t xml:space="preserve">References</w:t>
      </w:r>
    </w:p>
    <w:p>
      <w:pPr>
        <w:numPr>
          <w:ilvl w:val="0"/>
          <w:numId w:val="1003"/>
        </w:numPr>
        <w:pStyle w:val="Compact"/>
      </w:pPr>
      <w:r>
        <w:t xml:space="preserve">South African Department of Health. (2021). National Health Plan 2019-2034.</w:t>
      </w:r>
    </w:p>
    <w:p>
      <w:pPr>
        <w:numPr>
          <w:ilvl w:val="0"/>
          <w:numId w:val="1003"/>
        </w:numPr>
        <w:pStyle w:val="Compact"/>
      </w:pPr>
      <w:r>
        <w:t xml:space="preserve">Chersich, M.F., et al. ( "The double burden of HIV and non-communicable diseases in sub-Saharan Africa." The Lancet, 2018).</w:t>
      </w:r>
    </w:p>
    <w:p>
      <w:pPr>
        <w:numPr>
          <w:ilvl w:val="0"/>
          <w:numId w:val="1003"/>
        </w:numPr>
        <w:pStyle w:val="Compact"/>
      </w:pPr>
      <w:r>
        <w:t xml:space="preserve">Cape Town City Health Department. (2022). Annual Report on Primary Care Services.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South Africa Cape Town: Challenges and Opportunities</dc:title>
  <dc:creator/>
  <dc:language>en</dc:language>
  <cp:keywords/>
  <dcterms:created xsi:type="dcterms:W3CDTF">2026-07-29T12:06:30Z</dcterms:created>
  <dcterms:modified xsi:type="dcterms:W3CDTF">2026-07-29T12:06:30Z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