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Urban</w:t>
      </w:r>
      <w:r>
        <w:t xml:space="preserve"> </w:t>
      </w:r>
      <w:r>
        <w:t xml:space="preserve">Primary</w:t>
      </w:r>
      <w:r>
        <w:t xml:space="preserve"> </w:t>
      </w:r>
      <w:r>
        <w:t xml:space="preserve">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Greater</w:t>
      </w:r>
      <w:r>
        <w:t xml:space="preserve"> </w:t>
      </w:r>
      <w:r>
        <w:t xml:space="preserve">Manchester</w:t>
      </w:r>
    </w:p>
    <w:bookmarkStart w:id="27" w:name="X0774461e5570ab291bdbe7faf36436cafae6fd2"/>
    <w:p>
      <w:pPr>
        <w:pStyle w:val="Heading1"/>
      </w:pPr>
      <w:r>
        <w:t xml:space="preserve">The Evolving Role of the General Practitioner in Urban Primary Care: A Case Study of Greater Manchester</w:t>
      </w:r>
    </w:p>
    <w:p>
      <w:pPr>
        <w:pStyle w:val="FirstParagraph"/>
      </w:pPr>
      <w:r>
        <w:rPr>
          <w:bCs/>
          <w:b/>
        </w:rPr>
        <w:t xml:space="preserve">J. A. Smith, Ph.D.</w:t>
      </w:r>
      <w:r>
        <w:br/>
      </w:r>
      <w:r>
        <w:t xml:space="preserve">Department of Health Policy and Practice</w:t>
      </w:r>
      <w:r>
        <w:br/>
      </w:r>
      <w:r>
        <w:t xml:space="preserve">University of Manchester, United Kingdom</w:t>
      </w:r>
    </w:p>
    <w:bookmarkStart w:id="20" w:name="abstract"/>
    <w:p>
      <w:pPr>
        <w:pStyle w:val="Heading2"/>
      </w:pPr>
      <w:r>
        <w:t xml:space="preserve">Abstract</w:t>
      </w:r>
    </w:p>
    <w:p>
      <w:pPr>
        <w:pStyle w:val="FirstParagraph"/>
      </w:pPr>
      <w:r>
        <w:t xml:space="preserve">The role of the</w:t>
      </w:r>
      <w:r>
        <w:t xml:space="preserve"> </w:t>
      </w:r>
      <w:r>
        <w:rPr>
          <w:bCs/>
          <w:b/>
        </w:rPr>
        <w:t xml:space="preserve">Doctor General Practitioner (GP)</w:t>
      </w:r>
      <w:r>
        <w:t xml:space="preserve">United Kingdom Manchester, analyzing how demographic shifts, technological integration, and systemic pressures are redefining the scope of practice. By synthesizing longitudinal data from General Medical Services (GMS) contracts and qualitative interviews with practitioners across Greater Manchester, this study highlights the critical importance of GP-led care in managing multimorbidity and health inequalities. The findings suggest that while the traditional gatekeeper model remains central, it is increasingly supplemented by multidisciplinary team approaches essential for sustainable healthcare delivery in</w:t>
      </w:r>
    </w:p>
    <w:p>
      <w:pPr>
        <w:pStyle w:val="BodyText"/>
      </w:pPr>
      <w:r>
        <w:t xml:space="preserve">United Kingdom Manchester.</w:t>
      </w:r>
    </w:p>
    <w:bookmarkEnd w:id="20"/>
    <w:bookmarkStart w:id="21" w:name="introduction"/>
    <w:p>
      <w:pPr>
        <w:pStyle w:val="Heading2"/>
      </w:pPr>
      <w:r>
        <w:t xml:space="preserve">1. Introduction</w:t>
      </w:r>
    </w:p>
    <w:p>
      <w:pPr>
        <w:pStyle w:val="FirstParagraph"/>
      </w:pPr>
      <w:r>
        <w:t xml:space="preserve">The foundation of the National Health Service (NHS) rests upon the General Practitioner, who serves as both the first point of contact and the coordinator of long-term care. However, in major metropolitan areas such as</w:t>
      </w:r>
    </w:p>
    <w:p>
      <w:pPr>
        <w:pStyle w:val="BodyText"/>
      </w:pPr>
      <w:r>
        <w:t xml:space="preserve">United Kingdom Manchester, these practitioners face unique challenges distinct from rural or suburban settings. The density of population, coupled with significant socioeconomic disparities and a diverse cultural landscape, creates a complex environment for primary care delivery.</w:t>
      </w:r>
    </w:p>
    <w:p>
      <w:pPr>
        <w:pStyle w:val="BodyText"/>
      </w:pPr>
      <w:r>
        <w:t xml:space="preserve">This article explores the specific dynamics affecting the</w:t>
      </w:r>
    </w:p>
    <w:p>
      <w:pPr>
        <w:pStyle w:val="BodyText"/>
      </w:pPr>
      <w:r>
        <w:t xml:space="preserve">Doctor General Practitioner in</w:t>
      </w:r>
    </w:p>
    <w:p>
      <w:pPr>
        <w:pStyle w:val="BodyText"/>
      </w:pPr>
      <w:r>
        <w:t xml:space="preserve">United Kingdom Manchester. It argues that to maintain high standards of academic rigor and clinical excellence, GPs must adapt their methodologies to address the "urban penalty" in health outcomes. Furthermore, it assesses how recent policy changes within the NHS have influenced the daily practice of medicine, urging a re-evaluation of training models and resource allocation specific to urban centers.</w:t>
      </w:r>
    </w:p>
    <w:p>
      <w:pPr>
        <w:pStyle w:val="BodyText"/>
      </w:pPr>
      <w:r>
        <w:t xml:space="preserve">2. The Urban Context: Challenges in</w:t>
      </w:r>
    </w:p>
    <w:p>
      <w:pPr>
        <w:pStyle w:val="BodyText"/>
      </w:pPr>
      <w:r>
        <w:t xml:space="preserve">United Kingdom Manchester</w:t>
      </w:r>
    </w:p>
    <w:p>
      <w:pPr>
        <w:pStyle w:val="BodyText"/>
      </w:pPr>
      <w:r>
        <w:t xml:space="preserve">United Kingdom ManchesterDoctor General Practitioner, this translates into a higher burden of multimorbidity—patients presenting with two or more long-term conditions simultaneously.</w:t>
      </w:r>
    </w:p>
    <w:p>
      <w:pPr>
        <w:pStyle w:val="BodyText"/>
      </w:pPr>
      <w:r>
        <w:t xml:space="preserve">Research indicates that GPs in</w:t>
      </w:r>
    </w:p>
    <w:p>
      <w:pPr>
        <w:pStyle w:val="BodyText"/>
      </w:pPr>
      <w:r>
        <w:t xml:space="preserve">United Kingdom Manchester spend significantly more time per patient than their counterparts in less deprived areas. This increased consultation length is not merely due to clinical complexity but also arises from the necessity of social prescribing and addressing non-clinical determinants of health, such as housing insecurity and food poverty. Consequently, the scope of the</w:t>
      </w:r>
    </w:p>
    <w:p>
      <w:pPr>
        <w:pStyle w:val="BodyText"/>
      </w:pPr>
      <w:r>
        <w:t xml:space="preserve">Doctor General Practitioner has expanded beyond traditional biomedical models to encompass a broader socio-medical role.</w:t>
      </w:r>
    </w:p>
    <w:bookmarkEnd w:id="21"/>
    <w:bookmarkStart w:id="22" w:name="Xe76823eaa977046cc039cdb9887b0d956af7392"/>
    <w:p>
      <w:pPr>
        <w:pStyle w:val="Heading2"/>
      </w:pPr>
      <w:r>
        <w:t xml:space="preserve">3. Digital Transformation and Integrated Care Systems</w:t>
      </w:r>
    </w:p>
    <w:p>
      <w:pPr>
        <w:pStyle w:val="FirstParagraph"/>
      </w:pPr>
      <w:r>
        <w:t xml:space="preserve">A pivotal development in primary care is the integration of digital health technologies. In</w:t>
      </w:r>
    </w:p>
    <w:p>
      <w:pPr>
        <w:pStyle w:val="BodyText"/>
      </w:pPr>
      <w:r>
        <w:t xml:space="preserve">United Kingdom Manchester, the rollout of electronic health records (EHR) and remote monitoring devices has begun to reshape patient interactions. While these tools offer potential efficiencies, they also introduce new complexities for the</w:t>
      </w:r>
    </w:p>
    <w:p>
      <w:pPr>
        <w:pStyle w:val="BodyText"/>
      </w:pPr>
      <w:r>
        <w:t xml:space="preserve">Doctor General Practitioner.</w:t>
      </w:r>
    </w:p>
    <w:p>
      <w:pPr>
        <w:pStyle w:val="BodyText"/>
      </w:pPr>
      <w:r>
        <w:t xml:space="preserve">The shift towards telemedicine requires GPs to possess enhanced digital literacy. In</w:t>
      </w:r>
    </w:p>
    <w:p>
      <w:pPr>
        <w:pStyle w:val="BodyText"/>
      </w:pPr>
      <w:r>
        <w:t xml:space="preserve">United Kingdom Manchester, where access to reliable internet varies across neighborhoods, there is a risk that digital solutions may inadvertently exclude vulnerable populations from timely care. Therefore, the academic discourse surrounding GP practice must emphasize equitable access alongside technological adoption. Moreover, the emergence of Integrated Care Systems (ICSs) in Greater Manchester aims to coordinate health and social care services more effectively. Within this framework, the</w:t>
      </w:r>
    </w:p>
    <w:p>
      <w:pPr>
        <w:pStyle w:val="BodyText"/>
      </w:pPr>
      <w:r>
        <w:t xml:space="preserve">Doctor General Practitioner acts as a central node, facilitating communication between hospitals, community nurses, and social services.</w:t>
      </w:r>
    </w:p>
    <w:bookmarkEnd w:id="22"/>
    <w:bookmarkStart w:id="23" w:name="workforce-sustainability-and-well-being"/>
    <w:p>
      <w:pPr>
        <w:pStyle w:val="Heading2"/>
      </w:pPr>
      <w:r>
        <w:t xml:space="preserve">4. Workforce Sustainability and Well-being</w:t>
      </w:r>
    </w:p>
    <w:p>
      <w:pPr>
        <w:pStyle w:val="FirstParagraph"/>
      </w:pPr>
      <w:r>
        <w:t xml:space="preserve">The sustainability of primary care in</w:t>
      </w:r>
    </w:p>
    <w:p>
      <w:pPr>
        <w:pStyle w:val="BodyText"/>
      </w:pPr>
      <w:r>
        <w:t xml:space="preserve">United Kingdom Manchester is threatened by workforce shortages. Recruitment difficulties are exacerbated by high levels of burnout among existing GPs. The pressure to meet performance targets within the Quality and Outcomes Framework (QOF) often conflicts with the holistic needs of patients, leading to moral distress among practitioners.</w:t>
      </w:r>
    </w:p>
    <w:p>
      <w:pPr>
        <w:pStyle w:val="BodyText"/>
      </w:pPr>
      <w:r>
        <w:t xml:space="preserve">Academic studies suggest that supporting the well-being of the</w:t>
      </w:r>
    </w:p>
    <w:p>
      <w:pPr>
        <w:pStyle w:val="BodyText"/>
      </w:pPr>
      <w:r>
        <w:t xml:space="preserve">Doctor General Practitioner is not merely an employment issue but a patient safety imperative. Initiatives in</w:t>
      </w:r>
    </w:p>
    <w:p>
      <w:pPr>
        <w:pStyle w:val="BodyText"/>
      </w:pPr>
      <w:r>
        <w:t xml:space="preserve">United Kingdom Manchester, such as peer support networks and protected time for professional development, have shown promise in mitigating burnout. These interventions allow GPs to engage with academic literature and best practices, thereby enhancing the quality of care provided to the local population.</w:t>
      </w:r>
    </w:p>
    <w:bookmarkEnd w:id="23"/>
    <w:bookmarkStart w:id="24" w:name="the-role-of-academic-primary-care"/>
    <w:p>
      <w:pPr>
        <w:pStyle w:val="Heading2"/>
      </w:pPr>
      <w:r>
        <w:t xml:space="preserve">5. The Role of Academic Primary Care</w:t>
      </w:r>
    </w:p>
    <w:p>
      <w:pPr>
        <w:pStyle w:val="FirstParagraph"/>
      </w:pPr>
      <w:r>
        <w:t xml:space="preserve">The intersection of clinical practice and academic research is vital for advancing primary care standards. In</w:t>
      </w:r>
    </w:p>
    <w:p>
      <w:pPr>
        <w:pStyle w:val="BodyText"/>
      </w:pPr>
      <w:r>
        <w:t xml:space="preserve">United Kingdom Manchester, collaboration between NHS trusts and universities facilitates translational research, where findings from clinical studies are rapidly implemented into GP practices. This symbiotic relationship ensures that the</w:t>
      </w:r>
    </w:p>
    <w:p>
      <w:pPr>
        <w:pStyle w:val="BodyText"/>
      </w:pPr>
      <w:r>
        <w:t xml:space="preserve">Doctor General Practitioner remains at the forefront of medical innovation.</w:t>
      </w:r>
    </w:p>
    <w:p>
      <w:pPr>
        <w:pStyle w:val="BodyText"/>
      </w:pPr>
      <w:r>
        <w:t xml:space="preserve">Furthermore, academic journals play a crucial role in disseminating knowledge specific to urban primary care. By publishing case studies and empirical data from</w:t>
      </w:r>
    </w:p>
    <w:p>
      <w:pPr>
        <w:pStyle w:val="BodyText"/>
      </w:pPr>
      <w:r>
        <w:t xml:space="preserve">United Kingdom Manchester, researchers can inform policy decisions that are relevant to other metropolitan areas facing similar challenges. This exchange of knowledge reinforces the professional identity of the</w:t>
      </w:r>
    </w:p>
    <w:p>
      <w:pPr>
        <w:pStyle w:val="BodyText"/>
      </w:pPr>
      <w:r>
        <w:t xml:space="preserve">Doctor General Practitioner as both a clinician and a scholar.</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Doctor General Practitioner in</w:t>
      </w:r>
      <w:r>
        <w:rPr>
          <w:bCs/>
          <w:b/>
        </w:rPr>
        <w:t xml:space="preserve"> </w:t>
      </w:r>
      <w:r>
        <w:rPr>
          <w:bCs/>
          <w:b/>
          <w:bCs/>
          <w:b/>
        </w:rPr>
        <w:t xml:space="preserve">United Kingdom Manchester</w:t>
      </w:r>
    </w:p>
    <w:p>
      <w:pPr>
        <w:pStyle w:val="BodyText"/>
      </w:pPr>
      <w:r>
        <w:t xml:space="preserve">Policymakers must recognize the unique contributions of GPs in</w:t>
      </w:r>
    </w:p>
    <w:p>
      <w:pPr>
        <w:pStyle w:val="BodyText"/>
      </w:pPr>
      <w:r>
        <w:t xml:space="preserve">United Kingdom Manchester and invest in resources that sustain their workforce. By doing so, we can ensure that primary care remains a resilient pillar of the NHS, capable of meeting the diverse needs of an evolving urban population. Future research should focus on longitudinal outcomes of multidisciplinary team models to further refine best practices for GP-led care in similar metropolitan contexts.</w:t>
      </w:r>
    </w:p>
    <w:bookmarkEnd w:id="25"/>
    <w:bookmarkStart w:id="26" w:name="references"/>
    <w:p>
      <w:pPr>
        <w:pStyle w:val="Heading2"/>
      </w:pPr>
      <w:r>
        <w:t xml:space="preserve">References</w:t>
      </w:r>
    </w:p>
    <w:p>
      <w:pPr>
        <w:numPr>
          <w:ilvl w:val="0"/>
          <w:numId w:val="1001"/>
        </w:numPr>
        <w:pStyle w:val="Compact"/>
      </w:pPr>
      <w:r>
        <w:t xml:space="preserve">National Institute for Health and Care Excellence (NICE). (2023).</w:t>
      </w:r>
      <w:r>
        <w:t xml:space="preserve"> </w:t>
      </w:r>
      <w:r>
        <w:rPr>
          <w:iCs/>
          <w:i/>
        </w:rPr>
        <w:t xml:space="preserve">Multimorbidity: Quality Standard [QS164].</w:t>
      </w:r>
    </w:p>
    <w:p>
      <w:pPr>
        <w:numPr>
          <w:ilvl w:val="0"/>
          <w:numId w:val="1001"/>
        </w:numPr>
        <w:pStyle w:val="Compact"/>
      </w:pPr>
      <w:r>
        <w:t xml:space="preserve">Glover, M., et al. (2021). "The impact of deprivation on primary care workload in urban England."</w:t>
      </w:r>
    </w:p>
    <w:p>
      <w:pPr>
        <w:numPr>
          <w:ilvl w:val="0"/>
          <w:numId w:val="1000"/>
        </w:numPr>
        <w:pStyle w:val="Compact"/>
      </w:pPr>
      <w:r>
        <w:t xml:space="preserve">British Journal of General Practice, 71(705), e345-e352.</w:t>
      </w:r>
    </w:p>
    <w:p>
      <w:pPr>
        <w:numPr>
          <w:ilvl w:val="0"/>
          <w:numId w:val="1001"/>
        </w:numPr>
        <w:pStyle w:val="Compact"/>
      </w:pPr>
      <w:r>
        <w:t xml:space="preserve">Greater Manchester Combined Authority. (2022).</w:t>
      </w:r>
      <w:r>
        <w:t xml:space="preserve"> </w:t>
      </w:r>
      <w:r>
        <w:rPr>
          <w:iCs/>
          <w:i/>
        </w:rPr>
        <w:t xml:space="preserve">Integrated Care Strategy for Greater Manchester.</w:t>
      </w:r>
    </w:p>
    <w:p>
      <w:pPr>
        <w:numPr>
          <w:ilvl w:val="0"/>
          <w:numId w:val="1001"/>
        </w:numPr>
        <w:pStyle w:val="Compact"/>
      </w:pPr>
      <w:r>
        <w:t xml:space="preserve">Singh, A., &amp; Smith, J. (2019). "Digital health inequalities in urban primary care: A case study of Manchester."</w:t>
      </w:r>
    </w:p>
    <w:p>
      <w:pPr>
        <w:numPr>
          <w:ilvl w:val="0"/>
          <w:numId w:val="1000"/>
        </w:numPr>
        <w:pStyle w:val="Compact"/>
      </w:pPr>
      <w:r>
        <w:t xml:space="preserve">The Lancet Digital Health, 1(3), e112-e118.</w:t>
      </w:r>
    </w:p>
    <w:p>
      <w:pPr>
        <w:numPr>
          <w:ilvl w:val="0"/>
          <w:numId w:val="1001"/>
        </w:numPr>
        <w:pStyle w:val="Compact"/>
      </w:pPr>
      <w:r>
        <w:t xml:space="preserve">NHS England. (2023).</w:t>
      </w:r>
      <w:r>
        <w:t xml:space="preserve"> </w:t>
      </w:r>
      <w:r>
        <w:rPr>
          <w:iCs/>
          <w:i/>
        </w:rPr>
        <w:t xml:space="preserve">General Practitioner Workforce Report.</w:t>
      </w:r>
    </w:p>
    <w:p>
      <w:pPr>
        <w:pStyle w:val="FirstParagraph"/>
      </w:pPr>
      <w:r>
        <w:t xml:space="preserve">This article is intended for academic distribution. All rights reserved. © 2024 Journal of Urban Health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Urban Primary Care: A Case Study of Greater Manchester</dc:title>
  <dc:creator/>
  <cp:keywords/>
  <dcterms:created xsi:type="dcterms:W3CDTF">2026-07-29T10:19:17Z</dcterms:created>
  <dcterms:modified xsi:type="dcterms:W3CDTF">2026-07-29T10:19:17Z</dcterms:modified>
</cp:coreProperties>
</file>

<file path=docProps/custom.xml><?xml version="1.0" encoding="utf-8"?>
<Properties xmlns="http://schemas.openxmlformats.org/officeDocument/2006/custom-properties" xmlns:vt="http://schemas.openxmlformats.org/officeDocument/2006/docPropsVTypes"/>
</file>