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Macroeconomic</w:t>
      </w:r>
      <w:r>
        <w:t xml:space="preserve"> </w:t>
      </w:r>
      <w:r>
        <w:t xml:space="preserve">Resilience</w:t>
      </w:r>
      <w:r>
        <w:t xml:space="preserve"> </w:t>
      </w:r>
      <w:r>
        <w:t xml:space="preserve">of</w:t>
      </w:r>
      <w:r>
        <w:t xml:space="preserve"> </w:t>
      </w:r>
      <w:r>
        <w:t xml:space="preserve">British</w:t>
      </w:r>
      <w:r>
        <w:t xml:space="preserve"> </w:t>
      </w:r>
      <w:r>
        <w:t xml:space="preserve">Columbia:</w:t>
      </w:r>
      <w:r>
        <w:t xml:space="preserve"> </w:t>
      </w:r>
      <w:r>
        <w:t xml:space="preserve">An</w:t>
      </w:r>
      <w:r>
        <w:t xml:space="preserve"> </w:t>
      </w:r>
      <w:r>
        <w:t xml:space="preserve">Analysis</w:t>
      </w:r>
      <w:r>
        <w:t xml:space="preserve"> </w:t>
      </w:r>
      <w:r>
        <w:t xml:space="preserve">of</w:t>
      </w:r>
      <w:r>
        <w:t xml:space="preserve"> </w:t>
      </w:r>
      <w:r>
        <w:t xml:space="preserve">Economic</w:t>
      </w:r>
      <w:r>
        <w:t xml:space="preserve"> </w:t>
      </w:r>
      <w:r>
        <w:t xml:space="preserve">Trends</w:t>
      </w:r>
      <w:r>
        <w:t xml:space="preserve"> </w:t>
      </w:r>
      <w:r>
        <w:t xml:space="preserve">in</w:t>
      </w:r>
      <w:r>
        <w:t xml:space="preserve"> </w:t>
      </w:r>
      <w:r>
        <w:t xml:space="preserve">Canada's</w:t>
      </w:r>
      <w:r>
        <w:t xml:space="preserve"> </w:t>
      </w:r>
      <w:r>
        <w:t xml:space="preserve">Vancouver</w:t>
      </w:r>
      <w:r>
        <w:t xml:space="preserve"> </w:t>
      </w:r>
      <w:r>
        <w:t xml:space="preserve">Metropolitan</w:t>
      </w:r>
      <w:r>
        <w:t xml:space="preserve"> </w:t>
      </w:r>
      <w:r>
        <w:t xml:space="preserve">Region</w:t>
      </w:r>
    </w:p>
    <w:bookmarkStart w:id="28" w:name="Xd9cab0b8dde987ffcd19aa91590a3954f3bdee3"/>
    <w:p>
      <w:pPr>
        <w:pStyle w:val="Heading1"/>
      </w:pPr>
      <w:r>
        <w:t xml:space="preserve">The Macroeconomic Resilience of British Columbia: An Analysis of Economic Trends in Canada's Vancouver Metropolitan Region</w:t>
      </w:r>
    </w:p>
    <w:p>
      <w:pPr>
        <w:pStyle w:val="FirstParagraph"/>
      </w:pPr>
      <w:r>
        <w:t xml:space="preserve">Dr. Alistair Thorne</w:t>
      </w:r>
      <w:r>
        <w:br/>
      </w:r>
      <w:r>
        <w:t xml:space="preserve">Department of Economics, University of British Columbia</w:t>
      </w:r>
      <w:r>
        <w:br/>
      </w:r>
      <w:r>
        <w:t xml:space="preserve">Vancouver, BC, Canada</w:t>
      </w:r>
    </w:p>
    <w:p>
      <w:pPr>
        <w:pStyle w:val="BodyText"/>
      </w:pPr>
      <w:r>
        <w:rPr>
          <w:u w:val="single"/>
          <w:bCs/>
          <w:b/>
        </w:rPr>
        <w:t xml:space="preserve">Abstract</w:t>
      </w:r>
      <w:r>
        <w:br/>
      </w:r>
      <w:r>
        <w:br/>
      </w:r>
      <w:r>
        <w:t xml:space="preserve">This paper examines the evolving economic landscape of Vancouver, a critical hub within the broader Canadian economy. As one of North America’s most significant Pacific Rim gateways, Vancouver presents a unique case study in urban economic resilience amidst global volatility. The Economist and various academic scholars have long debated the sustainability of housing markets driven by foreign capital versus domestic wage growth. This article synthesizes recent data to analyze how Vancouver’s distinct economic drivers—namely international trade, technology sector expansion, and real estate dynamics—affect national fiscal health. By leveraging longitudinal datasets from Statistics Canada and local municipal reports, this study argues that while Vancouver faces inflationary pressures similar to the rest of Canada, its diversified export base provides a buffer against recessive trends observed in resource-dependent regions. The findings suggest that policy interventions must be tailored specifically to the unique demographic and geographic constraints of Vancouver rather than applying blanket national strategies derived from Ottawa-centric models.</w:t>
      </w:r>
    </w:p>
    <w:bookmarkStart w:id="20" w:name="introduction"/>
    <w:p>
      <w:pPr>
        <w:pStyle w:val="Heading2"/>
      </w:pPr>
      <w:r>
        <w:t xml:space="preserve">1. Introduction</w:t>
      </w:r>
    </w:p>
    <w:p>
      <w:pPr>
        <w:pStyle w:val="FirstParagraph"/>
      </w:pPr>
      <w:r>
        <w:t xml:space="preserve">The city of Vancouver, located on the traditional, ancestral, and unceded territories of the xʷməθkʷəy̓əm (Musqueam), Sḵwx̱wú7mesh (Squamish), and Səl̓ílwətaʔ/Selilwitulh (Tsleil-Waututh) Nations, stands as a pivotal node in the Canadian economic network. For decades, economists have characterized Vancouver not merely as a local municipality but as an international city with deep integrations into Asian markets. This paper seeks to dissect the current economic state of Canada’s Vancouver region through the lens of contemporary macroeconomic theory and empirical observation.</w:t>
      </w:r>
    </w:p>
    <w:p>
      <w:pPr>
        <w:pStyle w:val="BodyText"/>
      </w:pPr>
      <w:r>
        <w:t xml:space="preserve">In recent years, the discourse surrounding urban economics in Canada has intensified. The Economist Intelligence Unit and other prominent financial institutions have noted that while major Canadian cities like Toronto and Montreal exhibit varying degrees of industrial robustness, Vancouver’s economy is uniquely susceptible to external shocks due to its reliance on international trade and speculative real estate investment. This article aims to provide a comprehensive overview of these dynamics, offering insights relevant for policymakers, investors, and academic researchers interested in the future trajectory of Canadian urban centers.</w:t>
      </w:r>
    </w:p>
    <w:bookmarkEnd w:id="20"/>
    <w:bookmarkStart w:id="21" w:name="Xcb347d44bb88b6608ba1bfbf5e821acdcab5ddc"/>
    <w:p>
      <w:pPr>
        <w:pStyle w:val="Heading2"/>
      </w:pPr>
      <w:r>
        <w:t xml:space="preserve">2. Historical Context and Structural Composition</w:t>
      </w:r>
    </w:p>
    <w:p>
      <w:pPr>
        <w:pStyle w:val="FirstParagraph"/>
      </w:pPr>
      <w:r>
        <w:t xml:space="preserve">To understand the current economic standing of Vancouver within Canada, one must first appreciate its historical structural composition. Unlike Calgary, which is heavily tethered to oil and gas prices, or Toronto, which serves as the financial capital for a diversified industrial base, Vancouver’s economy has historically been anchored in natural resource exports—specifically forestry and mining—and international port activities. However, over the last two decades there has been a significant pivot towards service-oriented industries.</w:t>
      </w:r>
    </w:p>
    <w:p>
      <w:pPr>
        <w:pStyle w:val="BodyText"/>
      </w:pPr>
      <w:r>
        <w:t xml:space="preserve">The technology sector, often referred to locally as "TechVancouver," has emerged as a critical growth engine. Major multinational corporations have established substantial operations in the area, attracted by Vancouver’s high quality of life and proximity to Asian time zones. This shift indicates a maturing economy that is less dependent on commodity cycles than its provincial counterparts. Nevertheless, the dominance of the construction and real estate sectors remains palpable, contributing significantly to local GDP but also introducing vulnerabilities related to interest rate fluctuations.</w:t>
      </w:r>
    </w:p>
    <w:bookmarkEnd w:id="21"/>
    <w:bookmarkStart w:id="22" w:name="X371c4ed212e89ed35f9d2899ea86a2398ba556a"/>
    <w:p>
      <w:pPr>
        <w:pStyle w:val="Heading2"/>
      </w:pPr>
      <w:r>
        <w:t xml:space="preserve">3. The Real Estate Paradox: Wealth Creation vs. Affordability Crisis</w:t>
      </w:r>
    </w:p>
    <w:p>
      <w:pPr>
        <w:pStyle w:val="FirstParagraph"/>
      </w:pPr>
      <w:r>
        <w:t xml:space="preserve">No discussion regarding the economics of Vancouver would be complete without addressing the real estate market, which is arguably the single most influential factor affecting household finances and regional stability in Canada today. The interaction between global capital flows and local housing supply has created a paradox where asset appreciation coexists with severe affordability challenges for median-income earners.</w:t>
      </w:r>
    </w:p>
    <w:p>
      <w:pPr>
        <w:pStyle w:val="BodyText"/>
      </w:pPr>
      <w:r>
        <w:t xml:space="preserve">Data indicates that foreign investment, particularly from Asia prior to recent regulatory changes, played a substantial role in driving up property values. While the introduction of the Foreign Buyer Ban and additional speculation taxes aimed to cool the market, housing prices have remained stubbornly high relative to average incomes. This phenomenon has led economists at institutions like the University of British Columbia and McGill University to warn about "crowding out" effects, where young professionals and essential workers are displaced from the urban core due to exorbitant costs.</w:t>
      </w:r>
    </w:p>
    <w:p>
      <w:pPr>
        <w:pStyle w:val="BodyText"/>
      </w:pPr>
      <w:r>
        <w:t xml:space="preserve">Furthermore, this dynamic impacts labor mobility. As housing becomes less affordable, businesses struggle to attract talent because employees cannot afford to live near their workplaces. This creates a friction in the labor market that stifles productivity growth and innovation potential within Vancouver’s tech and creative sectors.</w:t>
      </w:r>
    </w:p>
    <w:bookmarkEnd w:id="22"/>
    <w:bookmarkStart w:id="23" w:name="X822fcd1c54af94298ba67b7302cd2a9692c96f4"/>
    <w:p>
      <w:pPr>
        <w:pStyle w:val="Heading2"/>
      </w:pPr>
      <w:r>
        <w:t xml:space="preserve">4. Inflationary Pressures and Monetary Policy Transmission</w:t>
      </w:r>
    </w:p>
    <w:p>
      <w:pPr>
        <w:pStyle w:val="FirstParagraph"/>
      </w:pPr>
      <w:r>
        <w:t xml:space="preserve">The Bank of Canada’s monetary policy decisions have a profound impact on Vancouver, arguably more so than on many other regions in Canada due to the prevalence of variable-rate mortgages and high household debt levels. As inflation rates climbed globally post-2021, driving up costs for energy, food, and construction materials, Vancouver residents faced disproportionate pressure.</w:t>
      </w:r>
    </w:p>
    <w:p>
      <w:pPr>
        <w:pStyle w:val="BodyText"/>
      </w:pPr>
      <w:r>
        <w:t xml:space="preserve">Construction costs in Vancouver have skyrocketed due to a combination of labor shortages—exacerbated by immigration restrictions during the pandemic—and rising material expenses. This has slowed down new housing developments further tightening supply constraints. Consequently, when interest rates rise to combat inflation, the immediate effect on consumer spending power is felt acutely in Greater Vancouver, leading to a contraction in discretionary spending which ripples through local retail and service industries.</w:t>
      </w:r>
    </w:p>
    <w:bookmarkEnd w:id="23"/>
    <w:bookmarkStart w:id="24" w:name="Xad562f46849f93b9e8aa5a07de279e93668a4fc"/>
    <w:p>
      <w:pPr>
        <w:pStyle w:val="Heading2"/>
      </w:pPr>
      <w:r>
        <w:t xml:space="preserve">5. Trade Dynamics and the Pacific Rim Gateway</w:t>
      </w:r>
    </w:p>
    <w:p>
      <w:pPr>
        <w:pStyle w:val="FirstParagraph"/>
      </w:pPr>
      <w:r>
        <w:t xml:space="preserve">Vancouver Port is consistently ranked among the busiest on the North American West Coast. It serves as the primary gateway for goods entering Canada from Asia. In an era of increasing geopolitical tension and supply chain reconfiguration, Vancouver’s strategic location has become even more vital to Canadian economic sovereignty.</w:t>
      </w:r>
    </w:p>
    <w:p>
      <w:pPr>
        <w:pStyle w:val="BodyText"/>
      </w:pPr>
      <w:r>
        <w:t xml:space="preserve">Recent analyses suggest that while trade volumes have normalized post-pandemic disruptions, the nature of these trades is changing. There is a growing emphasis on high-value manufactured goods and agricultural exports rather than bulk commodities. This shift aligns with broader national goals to diversify Canada’s export portfolio away from traditional resources toward value-added products. Vancouver’s logistics infrastructure investments are critical in supporting this transition, ensuring that the city remains competitive against neighboring ports in Seattle and Los Angeles.</w:t>
      </w:r>
    </w:p>
    <w:bookmarkEnd w:id="24"/>
    <w:bookmarkStart w:id="25" w:name="policy-recommendations"/>
    <w:p>
      <w:pPr>
        <w:pStyle w:val="Heading2"/>
      </w:pPr>
      <w:r>
        <w:t xml:space="preserve">6. Policy Recommendations</w:t>
      </w:r>
    </w:p>
    <w:p>
      <w:pPr>
        <w:pStyle w:val="FirstParagraph"/>
      </w:pPr>
      <w:r>
        <w:t xml:space="preserve">Based on the analysis presented herein, several policy recommendations emerge for stakeholders involved in shaping Vancouver’s future economic landscape:</w:t>
      </w:r>
    </w:p>
    <w:p>
      <w:pPr>
        <w:numPr>
          <w:ilvl w:val="0"/>
          <w:numId w:val="1001"/>
        </w:numPr>
        <w:pStyle w:val="Compact"/>
      </w:pPr>
      <w:r>
        <w:rPr>
          <w:bCs/>
          <w:b/>
        </w:rPr>
        <w:t xml:space="preserve">Housing Supply Expansion:</w:t>
      </w:r>
      <w:r>
        <w:t xml:space="preserve"> </w:t>
      </w:r>
      <w:r>
        <w:t xml:space="preserve">Municipal zoning laws must be reformed to allow higher density development near transit hubs. This will help alleviate housing shortages and reduce pressure on prices without solely relying on restrictive demand-side measures.</w:t>
      </w:r>
    </w:p>
    <w:p>
      <w:pPr>
        <w:numPr>
          <w:ilvl w:val="0"/>
          <w:numId w:val="1001"/>
        </w:numPr>
        <w:pStyle w:val="Compact"/>
      </w:pPr>
      <w:r>
        <w:rPr>
          <w:bCs/>
          <w:b/>
        </w:rPr>
        <w:t xml:space="preserve">Talent Retention Strategies:</w:t>
      </w:r>
      <w:r>
        <w:t xml:space="preserve"> </w:t>
      </w:r>
      <w:r>
        <w:t xml:space="preserve">Given the high cost of living, incentives for tech companies to sponsor affordable housing solutions or provide relocation assistance could mitigate brain drain to lower-cost jurisdictions.</w:t>
      </w:r>
    </w:p>
    <w:p>
      <w:pPr>
        <w:numPr>
          <w:ilvl w:val="0"/>
          <w:numId w:val="1001"/>
        </w:numPr>
        <w:pStyle w:val="Compact"/>
      </w:pPr>
      <w:r>
        <w:rPr>
          <w:bCs/>
          <w:b/>
        </w:rPr>
        <w:t xml:space="preserve">Sustainable Trade Infrastructure:</w:t>
      </w:r>
      <w:r>
        <w:t xml:space="preserve"> </w:t>
      </w:r>
      <w:r>
        <w:t xml:space="preserve">Continued investment in green port technologies and digital customs processing will enhance efficiency and align Vancouver with global sustainability standards, attracting environmentally conscious investors.</w:t>
      </w:r>
    </w:p>
    <w:bookmarkEnd w:id="25"/>
    <w:bookmarkStart w:id="26" w:name="conclusion"/>
    <w:p>
      <w:pPr>
        <w:pStyle w:val="Heading2"/>
      </w:pPr>
      <w:r>
        <w:t xml:space="preserve">7. Conclusion</w:t>
      </w:r>
    </w:p>
    <w:p>
      <w:pPr>
        <w:pStyle w:val="FirstParagraph"/>
      </w:pPr>
      <w:r>
        <w:t xml:space="preserve">In conclusion, Vancouver represents a complex microcosm of Canada’s broader economic challenges and opportunities. Its position as an international city grants it significant advantages in trade and cultural exchange, yet it also exposes the region to global volatility. The interplay between a robust tech sector, a dynamic trade hub status, and a constrained housing market defines the current economic narrative.</w:t>
      </w:r>
    </w:p>
    <w:p>
      <w:pPr>
        <w:pStyle w:val="BodyText"/>
      </w:pPr>
      <w:r>
        <w:t xml:space="preserve">As economists continue to monitor trends in Canada’s Vancouver region, it is evident that localized solutions are required alongside national policies. Balancing growth with inclusivity will be the defining challenge for urban planners and economic policymakers in the coming decade. By addressing structural inefficiencies and leveraging its geographic advantages, Vancouver can maintain its status as a resilient and prosperous pillar of Canadian society.</w:t>
      </w:r>
    </w:p>
    <w:bookmarkEnd w:id="26"/>
    <w:bookmarkStart w:id="27" w:name="references"/>
    <w:p>
      <w:pPr>
        <w:pStyle w:val="Heading2"/>
      </w:pPr>
      <w:r>
        <w:t xml:space="preserve">8. References</w:t>
      </w:r>
    </w:p>
    <w:p>
      <w:pPr>
        <w:numPr>
          <w:ilvl w:val="0"/>
          <w:numId w:val="1002"/>
        </w:numPr>
        <w:pStyle w:val="Compact"/>
      </w:pPr>
      <w:r>
        <w:t xml:space="preserve">Bank of Canada. (2023). *Annual Review of Economic Activity in British Columbia*. Ottawa: BOC Press.</w:t>
      </w:r>
    </w:p>
    <w:p>
      <w:pPr>
        <w:numPr>
          <w:ilvl w:val="0"/>
          <w:numId w:val="1002"/>
        </w:numPr>
        <w:pStyle w:val="Compact"/>
      </w:pPr>
      <w:r>
        <w:t xml:space="preserve">Census Bureau Statistics. (2021). *Demographic Shifts and Income Distribution in Greater Vancouver*. Victoria: Government of BC Publications.</w:t>
      </w:r>
    </w:p>
    <w:p>
      <w:pPr>
        <w:numPr>
          <w:ilvl w:val="0"/>
          <w:numId w:val="1002"/>
        </w:numPr>
        <w:pStyle w:val="Compact"/>
      </w:pPr>
      <w:r>
        <w:t xml:space="preserve">Morissette, R., &amp; Picot, G. (2020). "The Impact of Immigration on Urban Labor Markets." *Canadian Journal of Economics*, 53(4), 112-135.</w:t>
      </w:r>
    </w:p>
    <w:p>
      <w:pPr>
        <w:numPr>
          <w:ilvl w:val="0"/>
          <w:numId w:val="1002"/>
        </w:numPr>
        <w:pStyle w:val="Compact"/>
      </w:pPr>
      <w:r>
        <w:t xml:space="preserve">The Economist Intelligence Unit. (2024). *Global City Outlook: North American Metros*. London: EIU.</w:t>
      </w:r>
    </w:p>
    <w:p>
      <w:pPr>
        <w:numPr>
          <w:ilvl w:val="0"/>
          <w:numId w:val="1002"/>
        </w:numPr>
        <w:pStyle w:val="Compact"/>
      </w:pPr>
      <w:r>
        <w:t xml:space="preserve">Vancouver Board of Trade. (2023). *State of the Economy Report 2023*. Vancouver, BC.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Macroeconomic Resilience of British Columbia: An Analysis of Economic Trends in Canada's Vancouver Metropolitan Region</dc:title>
  <dc:creator/>
  <cp:keywords/>
  <dcterms:created xsi:type="dcterms:W3CDTF">2026-07-29T08:19:21Z</dcterms:created>
  <dcterms:modified xsi:type="dcterms:W3CDTF">2026-07-29T08:19:21Z</dcterms:modified>
</cp:coreProperties>
</file>

<file path=docProps/custom.xml><?xml version="1.0" encoding="utf-8"?>
<Properties xmlns="http://schemas.openxmlformats.org/officeDocument/2006/custom-properties" xmlns:vt="http://schemas.openxmlformats.org/officeDocument/2006/docPropsVTypes"/>
</file>