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Structural</w:t>
      </w:r>
      <w:r>
        <w:t xml:space="preserve"> </w:t>
      </w:r>
      <w:r>
        <w:t xml:space="preserve">Transformation</w:t>
      </w:r>
      <w:r>
        <w:t xml:space="preserve"> </w:t>
      </w:r>
      <w:r>
        <w:t xml:space="preserve">and</w:t>
      </w:r>
      <w:r>
        <w:t xml:space="preserve"> </w:t>
      </w:r>
      <w:r>
        <w:t xml:space="preserve">Social</w:t>
      </w:r>
      <w:r>
        <w:t xml:space="preserve"> </w:t>
      </w:r>
      <w:r>
        <w:t xml:space="preserve">Equity</w:t>
      </w:r>
    </w:p>
    <w:bookmarkStart w:id="30" w:name="Xb17f4fc409628e609c7b02d304f53c7f60edcb6"/>
    <w:p>
      <w:pPr>
        <w:pStyle w:val="Heading1"/>
      </w:pPr>
      <w:r>
        <w:t xml:space="preserve">The Role of the Economist in Colombia Bogotá:</w:t>
      </w:r>
      <w:r>
        <w:br/>
      </w:r>
      <w:r>
        <w:t xml:space="preserve">Analyzing Structural Transformation and Social Equity in a Post-Conflict Era</w:t>
      </w:r>
    </w:p>
    <w:p>
      <w:pPr>
        <w:pStyle w:val="FirstParagraph"/>
      </w:pPr>
      <w:r>
        <w:rPr>
          <w:bCs/>
          <w:b/>
        </w:rPr>
        <w:t xml:space="preserve">Juan Diego Valderrama, Ph.D.</w:t>
      </w:r>
      <w:r>
        <w:br/>
      </w:r>
      <w:r>
        <w:t xml:space="preserve">Department of Economics, Universidad de los Andes</w:t>
      </w:r>
      <w:r>
        <w:br/>
      </w:r>
      <w:r>
        <w:t xml:space="preserve">Bogotá D.C., Colombia</w:t>
      </w:r>
    </w:p>
    <w:bookmarkStart w:id="20" w:name="abstract"/>
    <w:p>
      <w:pPr>
        <w:pStyle w:val="Heading3"/>
      </w:pPr>
      <w:r>
        <w:t xml:space="preserve">Abstract</w:t>
      </w:r>
    </w:p>
    <w:p>
      <w:pPr>
        <w:pStyle w:val="FirstParagraph"/>
      </w:pPr>
      <w:r>
        <w:t xml:space="preserve">This paper examines the evolving role of the economist within the specific socio-economic context of Colombia Bogotá. As the capital city serves as the administrative, financial, and cultural heart of Colombia, it presents a unique microcosm for economic analysis. This article explores how modern economists in Bogotá must navigate complex challenges including post-conflict reconstruction, rapid urbanization, digital transformation, and persistent inequality. By analyzing recent policy frameworks and macroeconomic trends affecting Bogotá from 2018 to 2024, this study argues that the contemporary economist must adopt an interdisciplinary approach that integrates public finance with social equity metrics. The findings suggest that for Bogotá to sustain its role as a primary engine of national growth, economic strategies must prioritize inclusive innovation and sustainable urban planning.</w:t>
      </w:r>
    </w:p>
    <w:bookmarkEnd w:id="20"/>
    <w:bookmarkStart w:id="21" w:name="introduction"/>
    <w:p>
      <w:pPr>
        <w:pStyle w:val="Heading2"/>
      </w:pPr>
      <w:r>
        <w:t xml:space="preserve">1. Introduction</w:t>
      </w:r>
    </w:p>
    <w:p>
      <w:pPr>
        <w:pStyle w:val="FirstParagraph"/>
      </w:pPr>
      <w:r>
        <w:t xml:space="preserve">The discipline of economics is often viewed through a universalist lens, applying theoretical models that transcend borders. However, the practical application of economic principles is deeply rooted in local institutional frameworks, cultural contexts, and historical trajectories. Nowhere is this tension more apparent than in Colombia Bogotá, a megacity with over eight million inhabitants that accounts for approximately 25% of Colombia’s Gross Domestic Product (GDP). For the economist operating within this context, understanding the nuances of Bogotá is not merely an academic exercise but a critical imperative.</w:t>
      </w:r>
    </w:p>
    <w:p>
      <w:pPr>
        <w:pStyle w:val="BodyText"/>
      </w:pPr>
      <w:r>
        <w:t xml:space="preserve">In recent decades, Bogotá has transformed from a city grappling with internal armed conflict and high levels of violence into one of Latin America’s most dynamic economic hubs. Yet, this transformation has been accompanied by significant disparities. The role of the economist in Colombia Bogotá today is therefore multifaceted: it requires expertise in macroeconomic stability at the national level while simultaneously addressing micro-level issues such as informal labor markets, public transport inefficiencies, and access to education.</w:t>
      </w:r>
    </w:p>
    <w:p>
      <w:pPr>
        <w:pStyle w:val="BodyText"/>
      </w:pPr>
      <w:r>
        <w:t xml:space="preserve">This article aims to dissect the specific responsibilities and challenges faced by economists in Bogotá. It posits that the traditional neoliberal frameworks previously dominant in Colombian economic policy are insufficient for addressing the structural inequalities inherent in urban centers like Bogotá. Consequently, a new paradigm is emerging—one that emphasizes state capacity, digital inclusion, and sustainable development.</w:t>
      </w:r>
    </w:p>
    <w:bookmarkEnd w:id="21"/>
    <w:bookmarkStart w:id="22" w:name="the-macroeconomic-context-of-colombia"/>
    <w:p>
      <w:pPr>
        <w:pStyle w:val="Heading2"/>
      </w:pPr>
      <w:r>
        <w:t xml:space="preserve">2. The Macroeconomic Context of Colombia</w:t>
      </w:r>
    </w:p>
    <w:p>
      <w:pPr>
        <w:pStyle w:val="FirstParagraph"/>
      </w:pPr>
      <w:r>
        <w:t xml:space="preserve">To understand the role of the economist in Bogotá, one must first appreciate the broader macroeconomic environment of Colombia. Historically reliant on commodity exports such as coffee, oil, and coal, Colombia has sought to diversify its economy over the last two decades. However, global market volatility continues to impact national fiscal policy.</w:t>
      </w:r>
    </w:p>
    <w:p>
      <w:pPr>
        <w:pStyle w:val="BodyText"/>
      </w:pPr>
      <w:r>
        <w:t xml:space="preserve">Bogotá acts as the primary beneficiary and victim of these macroeconomic fluctuations. As a service-oriented economy—contributing significantly to sectors such as finance, technology, education, and healthcare—the city is less directly exposed to commodity price shocks than rural regions but is highly sensitive to global interest rates and foreign direct investment (FDI) flows. The economist in Bogotá must therefore maintain a rigorous understanding of international monetary policy impacts on local inflation rates and currency valuation.</w:t>
      </w:r>
    </w:p>
    <w:p>
      <w:pPr>
        <w:pStyle w:val="BodyText"/>
      </w:pPr>
      <w:r>
        <w:t xml:space="preserve">Furthermore, the Colombian economy faces structural bottlenecks, particularly in infrastructure and logistics. The cost of doing business in Colombia remains high compared to regional peers due to inefficient transportation networks and bureaucratic red tape. Economists tasked with advising municipal or national governments must prioritize reforms that reduce these transaction costs, thereby enhancing Bogotá’s competitiveness within the global market.</w:t>
      </w:r>
    </w:p>
    <w:bookmarkEnd w:id="22"/>
    <w:bookmarkStart w:id="25" w:name="Xfbc2a4062d1ccbb2d19e7e8ae7abca039644dcf"/>
    <w:p>
      <w:pPr>
        <w:pStyle w:val="Heading2"/>
      </w:pPr>
      <w:r>
        <w:t xml:space="preserve">3. Urban Economics and Infrastructure Challenges</w:t>
      </w:r>
    </w:p>
    <w:p>
      <w:pPr>
        <w:pStyle w:val="FirstParagraph"/>
      </w:pPr>
      <w:r>
        <w:t xml:space="preserve">Bogotá’s urban landscape presents a distinct set of economic challenges. The city has expanded rapidly, often outpacing its infrastructure development. This phenomenon is evident in the congestion that plagues daily commutes, costing the local economy billions of pesos annually in lost productivity.</w:t>
      </w:r>
    </w:p>
    <w:bookmarkStart w:id="23" w:name="public-transportation-and-urban-mobility"/>
    <w:p>
      <w:pPr>
        <w:pStyle w:val="Heading3"/>
      </w:pPr>
      <w:r>
        <w:t xml:space="preserve">3.1 Public Transportation and Urban Mobility</w:t>
      </w:r>
    </w:p>
    <w:p>
      <w:pPr>
        <w:pStyle w:val="FirstParagraph"/>
      </w:pPr>
      <w:r>
        <w:t xml:space="preserve">The TransMilenio system, a Bus Rapid Transit (BRT) network inaugurated in 2000, revolutionized urban mobility in Bogotá. However, as demand has grown, the system has faced capacity issues and aging infrastructure. The recent transition toward a new mass transit system involving subway construction requires immense fiscal discipline and long-term economic planning. Economists play a crucial role here in conducting cost-benefit analyses that extend beyond simple financial returns to include social welfare improvements.</w:t>
      </w:r>
    </w:p>
    <w:p>
      <w:pPr>
        <w:pStyle w:val="BodyText"/>
      </w:pPr>
      <w:r>
        <w:t xml:space="preserve">The economist must assess the opportunity costs of diverting resources from other critical sectors, such as healthcare or education, to fund mega-projects. Additionally, they must analyze the impact of fare subsidies on household budgets for low-income families residing in peripheral areas (comunas), ensuring that transportation policies do not exacerbate spatial inequality.</w:t>
      </w:r>
    </w:p>
    <w:bookmarkEnd w:id="23"/>
    <w:bookmarkStart w:id="24" w:name="the-informal-economy"/>
    <w:p>
      <w:pPr>
        <w:pStyle w:val="Heading3"/>
      </w:pPr>
      <w:r>
        <w:t xml:space="preserve">3.2 The Informal Economy</w:t>
      </w:r>
    </w:p>
    <w:p>
      <w:pPr>
        <w:pStyle w:val="FirstParagraph"/>
      </w:pPr>
      <w:r>
        <w:t xml:space="preserve">A defining characteristic of the Colombian labor market is its high rate of informality, which frequently exceeds 50% nationally and remains significant in Bogotá. Street vendors, unregistered small businesses, and gig economy workers form a substantial portion of the city’s economic fabric. Traditional economic models often fail to capture the dynamics of this sector.</w:t>
      </w:r>
    </w:p>
    <w:p>
      <w:pPr>
        <w:pStyle w:val="BodyText"/>
      </w:pPr>
      <w:r>
        <w:t xml:space="preserve">The modern economist in Bogotá must develop frameworks that integrate informal activities into formal statistical analyses without immediately imposing regulatory burdens that could destroy livelihoods. Policies promoting financial inclusion, access to credit for micro-enterprises, and social security portability are essential. The challenge lies in balancing the need for formalization with the reality of economic survival for millions of Bogotanos.</w:t>
      </w:r>
    </w:p>
    <w:bookmarkEnd w:id="24"/>
    <w:bookmarkEnd w:id="25"/>
    <w:bookmarkStart w:id="26" w:name="social-equity-and-inequality"/>
    <w:p>
      <w:pPr>
        <w:pStyle w:val="Heading2"/>
      </w:pPr>
      <w:r>
        <w:t xml:space="preserve">4. Social Equity and Inequality</w:t>
      </w:r>
    </w:p>
    <w:p>
      <w:pPr>
        <w:pStyle w:val="FirstParagraph"/>
      </w:pPr>
      <w:r>
        <w:t xml:space="preserve">Inequality in Colombia remains one of the highest in the OECD region, and Bogotá is no exception. The city exhibits stark contrasts between affluent northern localities (such as Chapinero and Suba) and impoverished southern comunas (such as Ciudad Bolívar). For the economist, addressing this disparity is not just a moral obligation but an economic necessity; high inequality stifles growth by limiting human capital development among large segments of the population.</w:t>
      </w:r>
    </w:p>
    <w:p>
      <w:pPr>
        <w:pStyle w:val="BodyText"/>
      </w:pPr>
      <w:r>
        <w:t xml:space="preserve">Economic policy in Bogotá must therefore be deeply rooted in redistributive mechanisms. This includes progressive taxation strategies at the municipal level, investment in public goods such as parks, libraries, and sports centers in underserved areas, and affirmative action programs in public employment. The economist must utilize data-driven approaches to identify "poverty traps" and design targeted interventions that break cycles of intergenerational poverty.</w:t>
      </w:r>
    </w:p>
    <w:p>
      <w:pPr>
        <w:pStyle w:val="BodyText"/>
      </w:pPr>
      <w:r>
        <w:t xml:space="preserve">Moreover, the legacy of internal displacement means that many residents of Bogotá are migrants from rural conflict zones. Integrating these populations into the urban labor market requires specialized economic support systems, including vocational training aligned with market demands and legal assistance regarding property rights.</w:t>
      </w:r>
    </w:p>
    <w:bookmarkEnd w:id="26"/>
    <w:bookmarkStart w:id="27" w:name="X54f97de4c3a83433905a61210cbc7b046ccc07e"/>
    <w:p>
      <w:pPr>
        <w:pStyle w:val="Heading2"/>
      </w:pPr>
      <w:r>
        <w:t xml:space="preserve">5. Digital Transformation and Future Prospects</w:t>
      </w:r>
    </w:p>
    <w:p>
      <w:pPr>
        <w:pStyle w:val="FirstParagraph"/>
      </w:pPr>
      <w:r>
        <w:t xml:space="preserve">The rise of the digital economy offers Bogotá a unique opportunity to leapfrog traditional development stages. As a hub for tech startups and innovation, the city is attracting significant investment in information technology (IT) services. The economist must facilitate this transition by advocating for policies that support digital infrastructure expansion, data privacy regulations, and cybersecurity measures.</w:t>
      </w:r>
    </w:p>
    <w:p>
      <w:pPr>
        <w:pStyle w:val="BodyText"/>
      </w:pPr>
      <w:r>
        <w:t xml:space="preserve">However, the digital divide remains a threat. Access to high-speed internet and digital literacy skills are unevenly distributed across socioeconomic strata. Economists must work to ensure that the benefits of technological advancement are shared equitably. This involves promoting STEM education in public schools and providing subsidies for internet access for low-income households.</w:t>
      </w:r>
    </w:p>
    <w:p>
      <w:pPr>
        <w:pStyle w:val="BodyText"/>
      </w:pPr>
      <w:r>
        <w:t xml:space="preserve">Fiscal sustainability is also a critical concern in the digital era. As tax bases shift toward multinational tech giants, local governments face challenges in capturing value added within their jurisdictions. Economists are tasked with exploring innovative tax mechanisms, such as digital service taxes or data levies, to ensure that Bogotá captures sufficient revenue from these emerging sectors.</w:t>
      </w:r>
    </w:p>
    <w:bookmarkEnd w:id="27"/>
    <w:bookmarkStart w:id="28" w:name="conclusion"/>
    <w:p>
      <w:pPr>
        <w:pStyle w:val="Heading2"/>
      </w:pPr>
      <w:r>
        <w:t xml:space="preserve">6. Conclusion</w:t>
      </w:r>
    </w:p>
    <w:p>
      <w:pPr>
        <w:pStyle w:val="FirstParagraph"/>
      </w:pPr>
      <w:r>
        <w:t xml:space="preserve">The role of the economist in Colombia Bogotá is complex and demanding. It requires a synthesis of rigorous quantitative analysis with a deep qualitative understanding of social realities. The challenges facing the city—ranging from infrastructure deficits and informal labor markets to severe income inequality and the pressures of digital transformation—cannot be solved by traditional economic dogma alone.</w:t>
      </w:r>
    </w:p>
    <w:p>
      <w:pPr>
        <w:pStyle w:val="BodyText"/>
      </w:pPr>
      <w:r>
        <w:t xml:space="preserve">Instead, economists in Bogotá must adopt an interdisciplinary approach that incorporates insights from sociology, urban planning, environmental science, and political economy. By prioritizing inclusive growth strategies that address structural inequalities while fostering innovation and competitiveness, economists can contribute significantly to the sustainable development of Colombia’s capital.</w:t>
      </w:r>
    </w:p>
    <w:p>
      <w:pPr>
        <w:pStyle w:val="BodyText"/>
      </w:pPr>
      <w:r>
        <w:t xml:space="preserve">Future research should focus on longitudinal studies assessing the impact of recent policy interventions in Bogotá on long-term social mobility. Additionally, comparative analyses with other Latin American megacities such as Mexico City or São Paulo could yield valuable insights into best practices for urban economic management. As Colombia continues to navigate its path toward becoming a developed nation, the expertise and ethical commitment of its economists will remain pivotal in shaping a more equitable and prosperous future for Bogotá.</w:t>
      </w:r>
    </w:p>
    <w:bookmarkEnd w:id="28"/>
    <w:bookmarkStart w:id="29" w:name="references"/>
    <w:p>
      <w:pPr>
        <w:pStyle w:val="Heading2"/>
      </w:pPr>
      <w:r>
        <w:t xml:space="preserve">References</w:t>
      </w:r>
    </w:p>
    <w:p>
      <w:pPr>
        <w:numPr>
          <w:ilvl w:val="0"/>
          <w:numId w:val="1001"/>
        </w:numPr>
        <w:pStyle w:val="Compact"/>
      </w:pPr>
      <w:r>
        <w:t xml:space="preserve">Banco de la República. (2023). *Informe sobre la Economía de Bogotá*. Bogotá: Banco de la República.</w:t>
      </w:r>
    </w:p>
    <w:p>
      <w:pPr>
        <w:numPr>
          <w:ilvl w:val="0"/>
          <w:numId w:val="1001"/>
        </w:numPr>
        <w:pStyle w:val="Compact"/>
      </w:pPr>
      <w:r>
        <w:t xml:space="preserve">DANE. (2024). *Encuesta Continua de Hogares: Resultados Nacionales y Metropolitanos*. Departamento Administrativo Nacional de Estadística.</w:t>
      </w:r>
    </w:p>
    <w:p>
      <w:pPr>
        <w:numPr>
          <w:ilvl w:val="0"/>
          <w:numId w:val="1001"/>
        </w:numPr>
        <w:pStyle w:val="Compact"/>
      </w:pPr>
      <w:r>
        <w:t xml:space="preserve">Echeverri, J. P., &amp; Restrepo, E. (2019). *La Economía Política del Conflicto en Colombia*. Bogotá: Editorial Norma.</w:t>
      </w:r>
    </w:p>
    <w:p>
      <w:pPr>
        <w:numPr>
          <w:ilvl w:val="0"/>
          <w:numId w:val="1001"/>
        </w:numPr>
        <w:pStyle w:val="Compact"/>
      </w:pPr>
      <w:r>
        <w:t xml:space="preserve">World Bank. (2023). *Colombia Economic Monitor: Navigating Uncertainty*. Washington, D.C.: World Bank Group.</w:t>
      </w:r>
    </w:p>
    <w:p>
      <w:pPr>
        <w:numPr>
          <w:ilvl w:val="0"/>
          <w:numId w:val="1001"/>
        </w:numPr>
        <w:pStyle w:val="Compact"/>
      </w:pPr>
      <w:r>
        <w:t xml:space="preserve">García, M., &amp; López, A. (2021). "Urban Inequality and Public Policy in Latin American Megacities." *Journal of Urban Economics*,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in Colombia Bogotá: Navigating Structural Transformation and Social Equity</dc:title>
  <dc:creator/>
  <dc:language>en</dc:language>
  <cp:keywords/>
  <dcterms:created xsi:type="dcterms:W3CDTF">2026-07-29T17:17:08Z</dcterms:created>
  <dcterms:modified xsi:type="dcterms:W3CDTF">2026-07-29T17:17:08Z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