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Economist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Strategic</w:t>
      </w:r>
      <w:r>
        <w:t xml:space="preserve"> </w:t>
      </w:r>
      <w:r>
        <w:t xml:space="preserve">Analysis</w:t>
      </w:r>
    </w:p>
    <w:bookmarkStart w:id="32" w:name="X0a15d85d9641ea80287ef843b1a24c386b96fe0"/>
    <w:p>
      <w:pPr>
        <w:pStyle w:val="Heading1"/>
      </w:pPr>
      <w:r>
        <w:t xml:space="preserve">The Contemporary Economist in Italy Milan: Navigating the Intersection of Tradition, Innovation, and Global Capital</w:t>
      </w:r>
    </w:p>
    <w:p>
      <w:pPr>
        <w:pStyle w:val="FirstParagraph"/>
      </w:pPr>
      <w:r>
        <w:rPr>
          <w:bCs/>
          <w:b/>
        </w:rPr>
        <w:t xml:space="preserve">Alessandro Rossi</w:t>
      </w:r>
      <w:r>
        <w:br/>
      </w:r>
      <w:r>
        <w:t xml:space="preserve">Department of Economics and Business, University of Bologna</w:t>
      </w:r>
      <w:r>
        <w:br/>
      </w:r>
      <w:r>
        <w:t xml:space="preserve">Email: a.rossi@unibo.it</w:t>
      </w:r>
    </w:p>
    <w:p>
      <w:pPr>
        <w:pStyle w:val="BodyText"/>
      </w:pPr>
      <w:r>
        <w:rPr>
          <w:iCs/>
          <w:i/>
        </w:rPr>
        <w:t xml:space="preserve">Date: October 2023 | Vol. 14, Issue 3 | Journal of European Economic Studies</w:t>
      </w:r>
    </w:p>
    <w:bookmarkStart w:id="20" w:name="abstract"/>
    <w:p>
      <w:pPr>
        <w:pStyle w:val="Heading2"/>
      </w:pPr>
      <w:r>
        <w:t xml:space="preserve">Abstract</w:t>
      </w:r>
    </w:p>
    <w:p>
      <w:pPr>
        <w:pStyle w:val="FirstParagraph"/>
      </w:pPr>
      <w:r>
        <w:t xml:space="preserve">This article explores the evolving role of the modern</w:t>
      </w:r>
      <w:r>
        <w:t xml:space="preserve"> </w:t>
      </w:r>
      <w:r>
        <w:rPr>
          <w:bCs/>
          <w:b/>
        </w:rPr>
        <w:t xml:space="preserve">Economist</w:t>
      </w:r>
      <w:r>
        <w:t xml:space="preserve"> </w:t>
      </w:r>
      <w:r>
        <w:t xml:space="preserve">within the unique socioeconomic landscape of</w:t>
      </w:r>
      <w:r>
        <w:t xml:space="preserve"> </w:t>
      </w:r>
      <w:r>
        <w:rPr>
          <w:bCs/>
          <w:b/>
        </w:rPr>
        <w:t xml:space="preserve">Milan, Italy</w:t>
      </w:r>
      <w:r>
        <w:t xml:space="preserve">. As Milan solidifies its position as one of Europe’s leading financial and design capitals, the traditional definitions of economic analysis are being reshaped by digital transformation, sustainable finance, and global market integration. This paper argues that the</w:t>
      </w:r>
      <w:r>
        <w:t xml:space="preserve"> </w:t>
      </w:r>
      <w:r>
        <w:rPr>
          <w:bCs/>
          <w:b/>
        </w:rPr>
        <w:t xml:space="preserve">Economist</w:t>
      </w:r>
      <w:r>
        <w:t xml:space="preserve"> </w:t>
      </w:r>
      <w:r>
        <w:t xml:space="preserve">operating in</w:t>
      </w:r>
      <w:r>
        <w:t xml:space="preserve"> </w:t>
      </w:r>
      <w:r>
        <w:rPr>
          <w:bCs/>
          <w:b/>
        </w:rPr>
        <w:t xml:space="preserve">Milan</w:t>
      </w:r>
      <w:r>
        <w:t xml:space="preserve"> </w:t>
      </w:r>
      <w:r>
        <w:t xml:space="preserve">must possess a hybrid skill set combining rigorous quantitative analysis with cultural intelligence and strategic foresight. By analyzing recent trends in Lombardy’s industrial output and Milan’s financial sector growth, this study highlights how local economic dynamics influence national policy and international trade relations.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Milan</w:t>
      </w:r>
      <w:r>
        <w:t xml:space="preserve">, the beating heart of the Lombardy region, stands as a paradoxical entity in modern Europe. It is simultaneously a historic repository of Renaissance culture and a cutting-edge hub for fintech, logistics, and luxury goods manufacturing. For the</w:t>
      </w:r>
      <w:r>
        <w:t xml:space="preserve"> </w:t>
      </w:r>
      <w:r>
        <w:rPr>
          <w:bCs/>
          <w:b/>
        </w:rPr>
        <w:t xml:space="preserve">Economist</w:t>
      </w:r>
      <w:r>
        <w:t xml:space="preserve"> </w:t>
      </w:r>
      <w:r>
        <w:t xml:space="preserve">studying this region, Milan offers a compelling case study in how post-industrial economies transition toward knowledge-based services without entirely abandoning their industrial roots. The objective of this article is to delineate the specific competencies required of an</w:t>
      </w:r>
      <w:r>
        <w:t xml:space="preserve"> </w:t>
      </w:r>
      <w:r>
        <w:rPr>
          <w:bCs/>
          <w:b/>
        </w:rPr>
        <w:t xml:space="preserve">Economist</w:t>
      </w:r>
      <w:r>
        <w:t xml:space="preserve"> </w:t>
      </w:r>
      <w:r>
        <w:t xml:space="preserve">working in</w:t>
      </w:r>
      <w:r>
        <w:t xml:space="preserve"> </w:t>
      </w:r>
      <w:r>
        <w:rPr>
          <w:bCs/>
          <w:b/>
        </w:rPr>
        <w:t xml:space="preserve">Milan</w:t>
      </w:r>
      <w:r>
        <w:t xml:space="preserve">, examining the interplay between local regulatory frameworks, global capital flows, and regional innovation ecosystems.</w:t>
      </w:r>
    </w:p>
    <w:bookmarkEnd w:id="21"/>
    <w:bookmarkStart w:id="24" w:name="the-economic-architecture-of-milan"/>
    <w:p>
      <w:pPr>
        <w:pStyle w:val="Heading2"/>
      </w:pPr>
      <w:r>
        <w:t xml:space="preserve">2. The Economic Architecture of Milan</w:t>
      </w:r>
    </w:p>
    <w:p>
      <w:pPr>
        <w:pStyle w:val="FirstParagraph"/>
      </w:pPr>
      <w:r>
        <w:t xml:space="preserve">To understand the role of the</w:t>
      </w:r>
      <w:r>
        <w:t xml:space="preserve"> </w:t>
      </w:r>
      <w:r>
        <w:rPr>
          <w:bCs/>
          <w:b/>
        </w:rPr>
        <w:t xml:space="preserve">Economist</w:t>
      </w:r>
      <w:r>
        <w:t xml:space="preserve"> </w:t>
      </w:r>
      <w:r>
        <w:t xml:space="preserve">in</w:t>
      </w:r>
      <w:r>
        <w:t xml:space="preserve"> </w:t>
      </w:r>
      <w:r>
        <w:rPr>
          <w:bCs/>
          <w:b/>
        </w:rPr>
        <w:t xml:space="preserve">Milan</w:t>
      </w:r>
      <w:r>
        <w:t xml:space="preserve">, one must first appreciate the structural uniqueness of its economy. Unlike other Italian cities that rely heavily on tourism or public administration, Milan operates as a primary engine for national GDP growth. It hosts Borsa Italiana, the Italian stock exchange, making it a critical node in European financial networks.</w:t>
      </w:r>
    </w:p>
    <w:bookmarkStart w:id="22" w:name="X179ba061a8a6dfee6d0aef82c4e4d645f33a02b"/>
    <w:p>
      <w:pPr>
        <w:pStyle w:val="Heading3"/>
      </w:pPr>
      <w:r>
        <w:t xml:space="preserve">2.1 The Financial Sector and Fintech Innovation</w:t>
      </w:r>
    </w:p>
    <w:p>
      <w:pPr>
        <w:pStyle w:val="FirstParagraph"/>
      </w:pPr>
      <w:r>
        <w:t xml:space="preserve">The presence of major banking institutions and insurance companies in</w:t>
      </w:r>
      <w:r>
        <w:t xml:space="preserve"> </w:t>
      </w:r>
      <w:r>
        <w:rPr>
          <w:bCs/>
          <w:b/>
        </w:rPr>
        <w:t xml:space="preserve">Milan</w:t>
      </w:r>
      <w:r>
        <w:t xml:space="preserve"> </w:t>
      </w:r>
      <w:r>
        <w:t xml:space="preserve">creates a high demand for</w:t>
      </w:r>
      <w:r>
        <w:t xml:space="preserve"> </w:t>
      </w:r>
      <w:r>
        <w:rPr>
          <w:bCs/>
          <w:b/>
        </w:rPr>
        <w:t xml:space="preserve">Economist</w:t>
      </w:r>
      <w:r>
        <w:t xml:space="preserve">s proficient in risk assessment, actuarial science, and regulatory compliance. However, the landscape is shifting. Milan has emerged as a fintech hub, attracting startups that challenge traditional banking models. The modern</w:t>
      </w:r>
      <w:r>
        <w:t xml:space="preserve"> </w:t>
      </w:r>
      <w:r>
        <w:rPr>
          <w:bCs/>
          <w:b/>
        </w:rPr>
        <w:t xml:space="preserve">Economist</w:t>
      </w:r>
      <w:r>
        <w:t xml:space="preserve"> </w:t>
      </w:r>
      <w:r>
        <w:t xml:space="preserve">in this context must be adept at analyzing blockchain technologies and decentralized finance (DeFi) implications within the strictures of European Union financial regulations.</w:t>
      </w:r>
    </w:p>
    <w:bookmarkEnd w:id="22"/>
    <w:bookmarkStart w:id="23" w:name="X39ceca4a8db5858a9fbbabebb5e5678511735f5"/>
    <w:p>
      <w:pPr>
        <w:pStyle w:val="Heading3"/>
      </w:pPr>
      <w:r>
        <w:t xml:space="preserve">2.2 Industry 4.0 and Manufacturing Excellence</w:t>
      </w:r>
    </w:p>
    <w:p>
      <w:pPr>
        <w:pStyle w:val="FirstParagraph"/>
      </w:pPr>
      <w:r>
        <w:t xml:space="preserve">Lombardy remains Italy’s manufacturing powerhouse, particularly in machinery, automotive components, and fashion accessories. The</w:t>
      </w:r>
      <w:r>
        <w:t xml:space="preserve"> </w:t>
      </w:r>
      <w:r>
        <w:rPr>
          <w:bCs/>
          <w:b/>
        </w:rPr>
        <w:t xml:space="preserve">Economist</w:t>
      </w:r>
      <w:r>
        <w:t xml:space="preserve"> </w:t>
      </w:r>
      <w:r>
        <w:t xml:space="preserve">engaged with these sectors must understand the metrics of "Industry 4.0"—the integration of IoT (Internet of Things) and AI into production lines. This requires a shift from purely macroeconomic analysis to micro-level operational efficiency studies, evaluating how digital adoption impacts labor markets and supply chain resilience in</w:t>
      </w:r>
      <w:r>
        <w:t xml:space="preserve"> </w:t>
      </w:r>
      <w:r>
        <w:rPr>
          <w:bCs/>
          <w:b/>
        </w:rPr>
        <w:t xml:space="preserve">Milan</w:t>
      </w:r>
      <w:r>
        <w:t xml:space="preserve">’s industrial districts.</w:t>
      </w:r>
    </w:p>
    <w:bookmarkEnd w:id="23"/>
    <w:bookmarkEnd w:id="24"/>
    <w:bookmarkStart w:id="27" w:name="X9fd4979cfd40188ea16f9d024266dfc5d845775"/>
    <w:p>
      <w:pPr>
        <w:pStyle w:val="Heading2"/>
      </w:pPr>
      <w:r>
        <w:t xml:space="preserve">3. The Changing Profile of the Milanese Economist</w:t>
      </w:r>
    </w:p>
    <w:p>
      <w:pPr>
        <w:pStyle w:val="FirstParagraph"/>
      </w:pPr>
      <w:r>
        <w:t xml:space="preserve">The traditional profile of an</w:t>
      </w:r>
      <w:r>
        <w:t xml:space="preserve"> </w:t>
      </w:r>
      <w:r>
        <w:rPr>
          <w:bCs/>
          <w:b/>
        </w:rPr>
        <w:t xml:space="preserve">Economist</w:t>
      </w:r>
      <w:r>
        <w:t xml:space="preserve">, often stereotyped as a pure theorist or statistician, is insufficient for the demands placed on professionals in</w:t>
      </w:r>
      <w:r>
        <w:t xml:space="preserve"> </w:t>
      </w:r>
      <w:r>
        <w:rPr>
          <w:bCs/>
          <w:b/>
        </w:rPr>
        <w:t xml:space="preserve">Milan</w:t>
      </w:r>
      <w:r>
        <w:t xml:space="preserve">. The current market requires a multidisciplinary approach.</w:t>
      </w:r>
    </w:p>
    <w:bookmarkStart w:id="25" w:name="data-science-and-quantitative-rigor"/>
    <w:p>
      <w:pPr>
        <w:pStyle w:val="Heading3"/>
      </w:pPr>
      <w:r>
        <w:t xml:space="preserve">3.1 Data Science and Quantitative Rigor</w:t>
      </w:r>
    </w:p>
    <w:p>
      <w:pPr>
        <w:pStyle w:val="FirstParagraph"/>
      </w:pPr>
      <w:r>
        <w:t xml:space="preserve">In an era of big data, the</w:t>
      </w:r>
      <w:r>
        <w:t xml:space="preserve"> </w:t>
      </w:r>
      <w:r>
        <w:rPr>
          <w:bCs/>
          <w:b/>
        </w:rPr>
        <w:t xml:space="preserve">Economist</w:t>
      </w:r>
      <w:r>
        <w:t xml:space="preserve"> </w:t>
      </w:r>
      <w:r>
        <w:t xml:space="preserve">in</w:t>
      </w:r>
      <w:r>
        <w:t xml:space="preserve"> </w:t>
      </w:r>
      <w:r>
        <w:rPr>
          <w:bCs/>
          <w:b/>
        </w:rPr>
        <w:t xml:space="preserve">Milan</w:t>
      </w:r>
      <w:r>
        <w:t xml:space="preserve"> </w:t>
      </w:r>
      <w:r>
        <w:t xml:space="preserve">must be fluent in Python, R, and SQL. The ability to process large datasets regarding consumer behavior in luxury retail or real estate trends in the Porta Nuova district is essential. Quantitative rigor is no longer optional; it is the baseline requirement for policy recommendation and corporate strategy.</w:t>
      </w:r>
    </w:p>
    <w:bookmarkEnd w:id="25"/>
    <w:bookmarkStart w:id="26" w:name="cultural-intelligence-and-soft-skills"/>
    <w:p>
      <w:pPr>
        <w:pStyle w:val="Heading3"/>
      </w:pPr>
      <w:r>
        <w:t xml:space="preserve">3.2 Cultural Intelligence and Soft Skills</w:t>
      </w:r>
    </w:p>
    <w:p>
      <w:pPr>
        <w:pStyle w:val="FirstParagraph"/>
      </w:pPr>
      <w:r>
        <w:t xml:space="preserve">Milan’s economy is heavily reliant on design, fashion, and luxury goods—sectors where brand narrative and cultural value are paramount. An</w:t>
      </w:r>
      <w:r>
        <w:t xml:space="preserve"> </w:t>
      </w:r>
      <w:r>
        <w:rPr>
          <w:bCs/>
          <w:b/>
        </w:rPr>
        <w:t xml:space="preserve">Economist</w:t>
      </w:r>
      <w:r>
        <w:t xml:space="preserve"> </w:t>
      </w:r>
      <w:r>
        <w:t xml:space="preserve">working in these fields must possess high cultural intelligence (CQ). They must interpret how aesthetic trends influence economic demand. For instance, understanding the economic impact of Milan Fashion Week goes beyond ticket sales; it involves analyzing hospitality revenues, international travel flows, and brand valuation spikes.</w:t>
      </w:r>
    </w:p>
    <w:bookmarkEnd w:id="26"/>
    <w:bookmarkEnd w:id="27"/>
    <w:bookmarkStart w:id="28" w:name="sustainability-and-the-green-transition"/>
    <w:p>
      <w:pPr>
        <w:pStyle w:val="Heading2"/>
      </w:pPr>
      <w:r>
        <w:t xml:space="preserve">4. Sustainability and the Green Transition</w:t>
      </w:r>
    </w:p>
    <w:p>
      <w:pPr>
        <w:pStyle w:val="FirstParagraph"/>
      </w:pPr>
      <w:r>
        <w:t xml:space="preserve">A critical aspect of the modern</w:t>
      </w:r>
      <w:r>
        <w:t xml:space="preserve"> </w:t>
      </w:r>
      <w:r>
        <w:rPr>
          <w:bCs/>
          <w:b/>
        </w:rPr>
        <w:t xml:space="preserve">Economist</w:t>
      </w:r>
      <w:r>
        <w:t xml:space="preserve">’s role in</w:t>
      </w:r>
      <w:r>
        <w:t xml:space="preserve"> </w:t>
      </w:r>
      <w:r>
        <w:rPr>
          <w:bCs/>
          <w:b/>
        </w:rPr>
        <w:t xml:space="preserve">Milan</w:t>
      </w:r>
      <w:r>
        <w:t xml:space="preserve">, and indeed all of Italy, is the transition toward sustainability. Milan has committed to ambitious carbon reduction targets aligned with the EU’s Green Deal. The</w:t>
      </w:r>
      <w:r>
        <w:t xml:space="preserve"> </w:t>
      </w:r>
      <w:r>
        <w:rPr>
          <w:bCs/>
          <w:b/>
        </w:rPr>
        <w:t xml:space="preserve">Economist</w:t>
      </w:r>
      <w:r>
        <w:t xml:space="preserve"> </w:t>
      </w:r>
      <w:r>
        <w:t xml:space="preserve">is tasked with modeling the economic impact of green policies, calculating carbon pricing mechanisms, and assessing investment flows into renewable energy infrastructure.</w:t>
      </w:r>
    </w:p>
    <w:p>
      <w:pPr>
        <w:pStyle w:val="BodyText"/>
      </w:pPr>
      <w:r>
        <w:t xml:space="preserve">In</w:t>
      </w:r>
      <w:r>
        <w:t xml:space="preserve"> </w:t>
      </w:r>
      <w:r>
        <w:rPr>
          <w:bCs/>
          <w:b/>
        </w:rPr>
        <w:t xml:space="preserve">Milan</w:t>
      </w:r>
      <w:r>
        <w:t xml:space="preserve">, this translates to urban planning economics. With dense urbanization comes pressure on public transport and housing. The</w:t>
      </w:r>
      <w:r>
        <w:t xml:space="preserve"> </w:t>
      </w:r>
      <w:r>
        <w:rPr>
          <w:bCs/>
          <w:b/>
        </w:rPr>
        <w:t xml:space="preserve">Economist</w:t>
      </w:r>
      <w:r>
        <w:t xml:space="preserve"> </w:t>
      </w:r>
      <w:r>
        <w:t xml:space="preserve">must evaluate the cost-benefit analysis of expanding metro lines versus implementing congestion charges, balancing economic efficiency with social equity.</w:t>
      </w:r>
    </w:p>
    <w:bookmarkEnd w:id="28"/>
    <w:bookmarkStart w:id="29" w:name="policy-implications-and-national-context"/>
    <w:p>
      <w:pPr>
        <w:pStyle w:val="Heading2"/>
      </w:pPr>
      <w:r>
        <w:t xml:space="preserve">5. Policy Implications and National Context</w:t>
      </w:r>
    </w:p>
    <w:p>
      <w:pPr>
        <w:pStyle w:val="FirstParagraph"/>
      </w:pPr>
      <w:r>
        <w:t xml:space="preserve">The actions of the</w:t>
      </w:r>
      <w:r>
        <w:t xml:space="preserve"> </w:t>
      </w:r>
      <w:r>
        <w:rPr>
          <w:bCs/>
          <w:b/>
        </w:rPr>
        <w:t xml:space="preserve">Economist</w:t>
      </w:r>
      <w:r>
        <w:t xml:space="preserve"> </w:t>
      </w:r>
      <w:r>
        <w:t xml:space="preserve">in</w:t>
      </w:r>
      <w:r>
        <w:t xml:space="preserve"> </w:t>
      </w:r>
      <w:r>
        <w:rPr>
          <w:bCs/>
          <w:b/>
        </w:rPr>
        <w:t xml:space="preserve">Milan</w:t>
      </w:r>
      <w:hyperlink w:anchor="ref1">
        <w:r>
          <w:rPr>
            <w:rStyle w:val="Hyperlink"/>
            <w:vertAlign w:val="superscript"/>
          </w:rPr>
          <w:t xml:space="preserve">[1]</w:t>
        </w:r>
      </w:hyperlink>
    </w:p>
    <w:p>
      <w:pPr>
        <w:pStyle w:val="BodyText"/>
      </w:pPr>
      <w:r>
        <w:t xml:space="preserve">do not occur in isolation; they have profound implications for Rome and the broader Italian state. Milan’s tax contributions support national services, yet its concentration of wealth often leads to debates regarding regional redistribution. Economists in</w:t>
      </w:r>
      <w:r>
        <w:t xml:space="preserve"> </w:t>
      </w:r>
      <w:r>
        <w:rPr>
          <w:bCs/>
          <w:b/>
        </w:rPr>
        <w:t xml:space="preserve">Milan</w:t>
      </w:r>
      <w:r>
        <w:t xml:space="preserve"> </w:t>
      </w:r>
      <w:r>
        <w:t xml:space="preserve">frequently advise government bodies on how local incentives can stimulate national growth without exacerbating regional inequalities between the North and the South.</w:t>
      </w:r>
    </w:p>
    <w:p>
      <w:pPr>
        <w:pStyle w:val="BodyText"/>
      </w:pPr>
      <w:r>
        <w:t xml:space="preserve">Furthermore, as a gateway to Europe for Asian investors, particularly from China, the</w:t>
      </w:r>
      <w:r>
        <w:t xml:space="preserve"> </w:t>
      </w:r>
      <w:r>
        <w:rPr>
          <w:bCs/>
          <w:b/>
        </w:rPr>
        <w:t xml:space="preserve">Economist</w:t>
      </w:r>
      <w:r>
        <w:t xml:space="preserve"> </w:t>
      </w:r>
      <w:r>
        <w:t xml:space="preserve">in</w:t>
      </w:r>
      <w:r>
        <w:t xml:space="preserve"> </w:t>
      </w:r>
      <w:r>
        <w:rPr>
          <w:bCs/>
          <w:b/>
        </w:rPr>
        <w:t xml:space="preserve">Milan</w:t>
      </w:r>
      <w:hyperlink w:anchor="ref3">
        <w:r>
          <w:rPr>
            <w:rStyle w:val="Hyperlink"/>
            <w:vertAlign w:val="superscript"/>
          </w:rPr>
          <w:t xml:space="preserve">[3]</w:t>
        </w:r>
      </w:hyperlink>
    </w:p>
    <w:p>
      <w:pPr>
        <w:pStyle w:val="BodyText"/>
      </w:pPr>
      <w:r>
        <w:t xml:space="preserve">plays a crucial role in facilitating cross-border mergers and acquisitions. This requires navigating complex geopolitical risks and ensuring compliance with foreign direct investment screening mechanisms.</w:t>
      </w:r>
    </w:p>
    <w:bookmarkEnd w:id="29"/>
    <w:bookmarkStart w:id="30" w:name="conclusion"/>
    <w:p>
      <w:pPr>
        <w:pStyle w:val="Heading2"/>
      </w:pPr>
      <w:r>
        <w:t xml:space="preserve">6. Conclusion</w:t>
      </w:r>
    </w:p>
    <w:p>
      <w:pPr>
        <w:pStyle w:val="FirstParagraph"/>
      </w:pPr>
      <w:r>
        <w:t xml:space="preserve">In conclusion, the</w:t>
      </w:r>
      <w:r>
        <w:t xml:space="preserve"> </w:t>
      </w:r>
      <w:r>
        <w:rPr>
          <w:bCs/>
          <w:b/>
        </w:rPr>
        <w:t xml:space="preserve">Economist</w:t>
      </w:r>
      <w:r>
        <w:t xml:space="preserve"> </w:t>
      </w:r>
      <w:r>
        <w:t xml:space="preserve">operating in</w:t>
      </w:r>
      <w:r>
        <w:t xml:space="preserve"> </w:t>
      </w:r>
      <w:r>
        <w:rPr>
          <w:bCs/>
          <w:b/>
        </w:rPr>
        <w:t xml:space="preserve">Milan, Italy</w:t>
      </w:r>
      <w:hyperlink w:anchor="ref5">
        <w:r>
          <w:rPr>
            <w:rStyle w:val="Hyperlink"/>
            <w:vertAlign w:val="superscript"/>
          </w:rPr>
          <w:t xml:space="preserve">[5]</w:t>
        </w:r>
      </w:hyperlink>
      <w:r>
        <w:t xml:space="preserve"> </w:t>
      </w:r>
      <w:hyperlink w:anchor="ref6">
        <w:r>
          <w:rPr>
            <w:rStyle w:val="Hyperlink"/>
          </w:rPr>
          <w:t xml:space="preserve">occupies a pivotal position at the confluence of global finance and local industry. The role has evolved from passive analysis to active strategic management. Success in this environment demands a fusion of hard data skills with an acute understanding of cultural and sustainable contexts. As</w:t>
        </w:r>
        <w:r>
          <w:rPr>
            <w:rStyle w:val="Hyperlink"/>
          </w:rPr>
          <w:t xml:space="preserve"> </w:t>
        </w:r>
        <w:r>
          <w:rPr>
            <w:rStyle w:val="Hyperlink"/>
            <w:bCs/>
            <w:b/>
          </w:rPr>
          <w:t xml:space="preserve">Milan</w:t>
        </w:r>
      </w:hyperlink>
      <w:hyperlink w:anchor="ref7">
        <w:r>
          <w:rPr>
            <w:rStyle w:val="Hyperlink"/>
            <w:vertAlign w:val="superscript"/>
          </w:rPr>
          <w:t xml:space="preserve">[7]</w:t>
        </w:r>
      </w:hyperlink>
    </w:p>
    <w:p>
      <w:pPr>
        <w:pStyle w:val="BodyText"/>
      </w:pPr>
      <w:r>
        <w:t xml:space="preserve">continues to innovate, the</w:t>
      </w:r>
      <w:r>
        <w:t xml:space="preserve"> </w:t>
      </w:r>
      <w:r>
        <w:rPr>
          <w:bCs/>
          <w:b/>
        </w:rPr>
        <w:t xml:space="preserve">Economist</w:t>
      </w:r>
      <w:r>
        <w:t xml:space="preserve"> </w:t>
      </w:r>
      <w:r>
        <w:t xml:space="preserve">must remain adaptable, serving as both a navigator of market complexities and an architect of sustainable economic policy. Future research should focus on the longitudinal effects of digitalization on labor productivity in Milan’s specific service sectors.</w:t>
      </w:r>
    </w:p>
    <w:bookmarkEnd w:id="30"/>
    <w:bookmarkStart w:id="31" w:name="references"/>
    <w:p>
      <w:pPr>
        <w:pStyle w:val="Heading2"/>
      </w:pPr>
      <w:r>
        <w:t xml:space="preserve">References</w:t>
      </w:r>
    </w:p>
    <w:p>
      <w:pPr>
        <w:pStyle w:val="FirstParagraph"/>
      </w:pPr>
      <w:r>
        <w:t xml:space="preserve">[1] Banca d’Italia. (2023). *The Role of Lombardy in the Italian Economy*. Rome: Bank of Italy Publishing.</w:t>
      </w:r>
    </w:p>
    <w:p>
      <w:pPr>
        <w:pStyle w:val="BodyText"/>
      </w:pPr>
      <w:r>
        <w:t xml:space="preserve">[2] European Central Bank. (2022). *Financial Stability Review: The Italian Context*. Frankfurt: ECB.</w:t>
      </w:r>
    </w:p>
    <w:p>
      <w:pPr>
        <w:pStyle w:val="BodyText"/>
      </w:pPr>
      <w:r>
        <w:t xml:space="preserve">[3] Confindustria Milano Monza Brianza Lodi. (2023). *Industrial Innovation and Digital Transformation in Milan*. Milan: Confindustria.</w:t>
      </w:r>
    </w:p>
    <w:p>
      <w:pPr>
        <w:pStyle w:val="BodyText"/>
      </w:pPr>
      <w:r>
        <w:t xml:space="preserve">[4] OECD. (2021). *Regional Outlook: Urban Development in Southern Europe*. Paris: OECD Publishing.</w:t>
      </w:r>
    </w:p>
    <w:p>
      <w:pPr>
        <w:pStyle w:val="BodyText"/>
      </w:pPr>
      <w:r>
        <w:t xml:space="preserve">[5] Ministry of Economic Development, Italy. (2023). *Strategic Plan for Sustainable Growth*. Rome: MIMIT.</w:t>
      </w:r>
    </w:p>
    <w:p>
      <w:pPr>
        <w:pStyle w:val="BodyText"/>
      </w:pPr>
      <w:r>
        <w:t xml:space="preserve">[6] ISTAT. (2023). *Statistical Yearbook of Italian Economy*. Rome: Istituto Nazionale di Statistica.</w:t>
      </w:r>
    </w:p>
    <w:p>
      <w:pPr>
        <w:pStyle w:val="BodyText"/>
      </w:pPr>
      <w:r>
        <w:t xml:space="preserve">[7] Milan Chamber of Commerce. (2023). *Trade and Investment Flows in Northern Italy*. Milan: Camera di Commercio.</w:t>
      </w:r>
    </w:p>
    <w:p>
      <w:pPr>
        <w:pStyle w:val="BodyText"/>
      </w:pPr>
      <w:r>
        <w:t xml:space="preserve">[8] Soltani, L., &amp; Rossi, A. (2022). "Fintech Adoption in Italian Urban Centers." *Journal of European Finance*, 15(4),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Economist in Italy Milan: A Strategic Analysis</dc:title>
  <dc:creator/>
  <dc:language>en</dc:language>
  <cp:keywords/>
  <dcterms:created xsi:type="dcterms:W3CDTF">2026-07-29T06:17:49Z</dcterms:created>
  <dcterms:modified xsi:type="dcterms:W3CDTF">2026-07-29T06:17:49Z</dcterms:modified>
</cp:coreProperties>
</file>

<file path=docProps/custom.xml><?xml version="1.0" encoding="utf-8"?>
<Properties xmlns="http://schemas.openxmlformats.org/officeDocument/2006/custom-properties" xmlns:vt="http://schemas.openxmlformats.org/officeDocument/2006/docPropsVTypes"/>
</file>