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Shaping</w:t>
      </w:r>
      <w:r>
        <w:t xml:space="preserve"> </w:t>
      </w:r>
      <w:r>
        <w:t xml:space="preserve">Monetary</w:t>
      </w:r>
      <w:r>
        <w:t xml:space="preserve"> </w:t>
      </w:r>
      <w:r>
        <w:t xml:space="preserve">Policy</w:t>
      </w:r>
      <w:r>
        <w:t xml:space="preserve"> </w:t>
      </w:r>
      <w:r>
        <w:t xml:space="preserve">and</w:t>
      </w:r>
      <w:r>
        <w:t xml:space="preserve"> </w:t>
      </w:r>
      <w:r>
        <w:t xml:space="preserve">Financial</w:t>
      </w:r>
      <w:r>
        <w:t xml:space="preserve"> </w:t>
      </w:r>
      <w:r>
        <w:t xml:space="preserve">Stability</w:t>
      </w:r>
      <w:r>
        <w:t xml:space="preserve"> </w:t>
      </w:r>
      <w:r>
        <w:t xml:space="preserve">in</w:t>
      </w:r>
      <w:r>
        <w:t xml:space="preserve"> </w:t>
      </w:r>
      <w:r>
        <w:t xml:space="preserve">Kuwait</w:t>
      </w:r>
      <w:r>
        <w:t xml:space="preserve"> </w:t>
      </w:r>
      <w:r>
        <w:t xml:space="preserve">City:</w:t>
      </w:r>
      <w:r>
        <w:t xml:space="preserve"> </w:t>
      </w:r>
      <w:r>
        <w:t xml:space="preserve">An</w:t>
      </w:r>
      <w:r>
        <w:t xml:space="preserve"> </w:t>
      </w:r>
      <w:r>
        <w:t xml:space="preserve">Academic</w:t>
      </w:r>
      <w:r>
        <w:t xml:space="preserve"> </w:t>
      </w:r>
      <w:r>
        <w:t xml:space="preserve">Perspective</w:t>
      </w:r>
    </w:p>
    <w:bookmarkStart w:id="28" w:name="X7878c8c7d6a8a52af261e928494011aa2241f51"/>
    <w:p>
      <w:pPr>
        <w:pStyle w:val="Heading1"/>
      </w:pPr>
      <w:r>
        <w:t xml:space="preserve">The Role of the Economist in Shaping Monetary Policy and Financial Stability in Kuwait City</w:t>
      </w:r>
    </w:p>
    <w:p>
      <w:pPr>
        <w:pStyle w:val="FirstParagraph"/>
      </w:pPr>
      <w:r>
        <w:rPr>
          <w:bCs/>
          <w:b/>
        </w:rPr>
        <w:t xml:space="preserve">Abstract</w:t>
      </w:r>
    </w:p>
    <w:p>
      <w:pPr>
        <w:pStyle w:val="BodyText"/>
      </w:pPr>
      <w:r>
        <w:t xml:space="preserve">This academic article examines the pivotal role of the professional economist within the unique economic landscape of Kuwait City. As a major financial hub in the Gulf Cooperation Council (GCC) region, Kuwait faces distinct challenges related to oil dependency, currency pegs, and fiscal diversification. This paper analyzes how local economists contribute to policy formulation at the Central Bank of Kuwait and private sector entities. It further explores the implications of global economic trends on domestic stability in Kuwait City and proposes frameworks for enhancing analytical rigor in regional economic planning.</w:t>
      </w:r>
    </w:p>
    <w:p>
      <w:pPr>
        <w:pStyle w:val="BodyText"/>
      </w:pPr>
      <w:r>
        <w:rPr>
          <w:bCs/>
          <w:b/>
        </w:rPr>
        <w:t xml:space="preserve">Keywords:</w:t>
      </w:r>
      <w:r>
        <w:t xml:space="preserve"> </w:t>
      </w:r>
      <w:r>
        <w:t xml:space="preserve">Economist, Monetary Policy, Kuwait City, Oil Dependency, Financial Stability, GCC Economics.</w:t>
      </w:r>
    </w:p>
    <w:bookmarkStart w:id="20" w:name="i.-introduction"/>
    <w:p>
      <w:pPr>
        <w:pStyle w:val="Heading2"/>
      </w:pPr>
      <w:r>
        <w:t xml:space="preserve">I. Introduction</w:t>
      </w:r>
    </w:p>
    <w:p>
      <w:pPr>
        <w:pStyle w:val="FirstParagraph"/>
      </w:pPr>
      <w:r>
        <w:t xml:space="preserve">The modern global economy is characterized by volatility, rapid technological change, and shifting geopolitical dynamics. In this context the professional</w:t>
      </w:r>
      <w:r>
        <w:t xml:space="preserve"> </w:t>
      </w:r>
      <w:r>
        <w:rPr>
          <w:bCs/>
          <w:b/>
        </w:rPr>
        <w:t xml:space="preserve">Economist</w:t>
      </w:r>
    </w:p>
    <w:p>
      <w:pPr>
        <w:pStyle w:val="BodyText"/>
      </w:pPr>
      <w:r>
        <w:t xml:space="preserve">Kuwait City stands as a testament to rapid development, transforming from a modest pearling trading post into one of the wealthiest per capita nations globally. However, this wealth has historically been contingent upon volatile oil markets. For an</w:t>
      </w:r>
      <w:r>
        <w:t xml:space="preserve"> </w:t>
      </w:r>
      <w:r>
        <w:rPr>
          <w:bCs/>
          <w:b/>
        </w:rPr>
        <w:t xml:space="preserve">Economist</w:t>
      </w:r>
      <w:r>
        <w:t xml:space="preserve"> </w:t>
      </w:r>
      <w:r>
        <w:t xml:space="preserve">operating within this jurisdiction, the mandate extends beyond standard macroeconomic indicators; it involves navigating the complex interplay between sovereign wealth management, currency peg stability (specifically to a basket of currencies), and urgent diversification strategies outlined in Vision 2035.</w:t>
      </w:r>
    </w:p>
    <w:bookmarkEnd w:id="20"/>
    <w:bookmarkStart w:id="21" w:name="Xf9dcf67940c53e96cf1aad40acba9faaa4fe16b"/>
    <w:p>
      <w:pPr>
        <w:pStyle w:val="Heading2"/>
      </w:pPr>
      <w:r>
        <w:t xml:space="preserve">II. The Structural Challenges Facing Kuwait City</w:t>
      </w:r>
    </w:p>
    <w:p>
      <w:pPr>
        <w:pStyle w:val="FirstParagraph"/>
      </w:pPr>
      <w:r>
        <w:t xml:space="preserve">To understand the necessity of rigorous economic analysis in</w:t>
      </w:r>
      <w:r>
        <w:t xml:space="preserve"> </w:t>
      </w:r>
      <w:r>
        <w:rPr>
          <w:bCs/>
          <w:b/>
        </w:rPr>
        <w:t xml:space="preserve">Kuwait City</w:t>
      </w:r>
      <w:r>
        <w:t xml:space="preserve">, one must first appreciate its structural realities. The economy is heavily reliant on hydrocarbon exports, which account for a significant portion of GDP and government revenue. This mono-product structure exposes the nation to external shocks that an</w:t>
      </w:r>
      <w:r>
        <w:t xml:space="preserve"> </w:t>
      </w:r>
      <w:r>
        <w:rPr>
          <w:bCs/>
          <w:b/>
        </w:rPr>
        <w:t xml:space="preserve">Economist</w:t>
      </w:r>
      <w:r>
        <w:t xml:space="preserve"> </w:t>
      </w:r>
      <w:r>
        <w:t xml:space="preserve">must constantly model and mitigate.</w:t>
      </w:r>
    </w:p>
    <w:p>
      <w:pPr>
        <w:pStyle w:val="BodyText"/>
      </w:pPr>
      <w:r>
        <w:t xml:space="preserve">Furthermore, Kuwait City serves as a financial center for the region, hosting numerous multinational corporations and regional banks. The local labor market presents unique dualities: a large public sector dominated by citizens enjoying high job security and benefits, alongside a private sector heavily reliant on expatriate labor. An</w:t>
      </w:r>
      <w:r>
        <w:t xml:space="preserve"> </w:t>
      </w:r>
      <w:r>
        <w:rPr>
          <w:bCs/>
          <w:b/>
        </w:rPr>
        <w:t xml:space="preserve">Economist</w:t>
      </w:r>
      <w:r>
        <w:t xml:space="preserve"> </w:t>
      </w:r>
      <w:r>
        <w:t xml:space="preserve">analyzing this dynamic must account for wage bills that consume the majority of the state budget, leaving limited fiscal space for infrastructure development or social services without drawing from reserves.</w:t>
      </w:r>
    </w:p>
    <w:bookmarkEnd w:id="21"/>
    <w:bookmarkStart w:id="22" w:name="X9db3f61dceeab15b999dbbdef91a3fa33e7e9c1"/>
    <w:p>
      <w:pPr>
        <w:pStyle w:val="Heading2"/>
      </w:pPr>
      <w:r>
        <w:t xml:space="preserve">III. The Central Bank and Monetary Policy</w:t>
      </w:r>
    </w:p>
    <w:p>
      <w:pPr>
        <w:pStyle w:val="FirstParagraph"/>
      </w:pPr>
      <w:r>
        <w:t xml:space="preserve">The most critical domain where an</w:t>
      </w:r>
      <w:r>
        <w:t xml:space="preserve"> </w:t>
      </w:r>
      <w:r>
        <w:rPr>
          <w:bCs/>
          <w:b/>
        </w:rPr>
        <w:t xml:space="preserve">Economist</w:t>
      </w:r>
      <w:r>
        <w:t xml:space="preserve"> </w:t>
      </w:r>
      <w:r>
        <w:t xml:space="preserve">exercises influence in</w:t>
      </w:r>
      <w:r>
        <w:t xml:space="preserve"> </w:t>
      </w:r>
      <w:r>
        <w:rPr>
          <w:bCs/>
          <w:b/>
        </w:rPr>
        <w:t xml:space="preserve">Kuwait City</w:t>
      </w:r>
      <w:r>
        <w:t xml:space="preserve"> </w:t>
      </w:r>
      <w:r>
        <w:t xml:space="preserve">is within the Central Bank of Kuwait (CBK). The CBK maintains a fixed exchange rate peg for the Kuwaiti Dinar (KWD), one of the strongest currencies in the world. Maintaining this peg requires sophisticated monetary policy tools.</w:t>
      </w:r>
    </w:p>
    <w:p>
      <w:pPr>
        <w:pStyle w:val="BodyText"/>
      </w:pPr>
      <w:r>
        <w:t xml:space="preserve">Economists at the CBK are tasked with monitoring inflation differentials between Kuwait and its trading partners. Since Kuwait trades primarily with countries whose currencies comprise its basket (including the US Dollar, Euro, and Japanese Yen), changes in global interest rates directly impact domestic liquidity. An expert</w:t>
      </w:r>
      <w:r>
        <w:t xml:space="preserve"> </w:t>
      </w:r>
      <w:r>
        <w:rPr>
          <w:bCs/>
          <w:b/>
        </w:rPr>
        <w:t xml:space="preserve">Economist</w:t>
      </w:r>
      <w:r>
        <w:t xml:space="preserve"> </w:t>
      </w:r>
      <w:r>
        <w:t xml:space="preserve">must determine when to adjust the discount rate to either attract foreign capital or curb excessive credit growth that could lead to inflationary pressures. This delicate balancing act is essential for maintaining investor confidence in</w:t>
      </w:r>
      <w:r>
        <w:t xml:space="preserve"> </w:t>
      </w:r>
      <w:r>
        <w:rPr>
          <w:bCs/>
          <w:b/>
        </w:rPr>
        <w:t xml:space="preserve">Kuwait City</w:t>
      </w:r>
      <w:r>
        <w:t xml:space="preserve"> </w:t>
      </w:r>
      <w:r>
        <w:t xml:space="preserve">as a stable investment destination.</w:t>
      </w:r>
    </w:p>
    <w:bookmarkEnd w:id="22"/>
    <w:bookmarkStart w:id="23" w:name="X08feb6cc836ebc08b151885104da34e83ea4191"/>
    <w:p>
      <w:pPr>
        <w:pStyle w:val="Heading2"/>
      </w:pPr>
      <w:r>
        <w:t xml:space="preserve">IV. Fiscal Diversification and Vision 2035</w:t>
      </w:r>
    </w:p>
    <w:p>
      <w:pPr>
        <w:pStyle w:val="FirstParagraph"/>
      </w:pPr>
      <w:r>
        <w:t xml:space="preserve">A significant portion of contemporary economic discourse in</w:t>
      </w:r>
      <w:r>
        <w:t xml:space="preserve"> </w:t>
      </w:r>
      <w:r>
        <w:rPr>
          <w:bCs/>
          <w:b/>
        </w:rPr>
        <w:t xml:space="preserve">Kuwait City</w:t>
      </w:r>
      <w:r>
        <w:t xml:space="preserve"> </w:t>
      </w:r>
      <w:r>
        <w:t xml:space="preserve">revolves around "Vision 2035," the national development plan aiming to transform Kuwait into a financial and commercial hub. For an</w:t>
      </w:r>
      <w:r>
        <w:t xml:space="preserve"> </w:t>
      </w:r>
      <w:r>
        <w:rPr>
          <w:bCs/>
          <w:b/>
        </w:rPr>
        <w:t xml:space="preserve">Economist</w:t>
      </w:r>
      <w:r>
        <w:t xml:space="preserve">, this vision presents both opportunities and analytical hurdles.</w:t>
      </w:r>
    </w:p>
    <w:p>
      <w:pPr>
        <w:pStyle w:val="BodyText"/>
      </w:pPr>
      <w:r>
        <w:t xml:space="preserve">Diversification requires moving beyond oil revenues into sectors such as logistics, tourism, and finance. However, private sector growth remains constrained by bureaucratic inefficiencies and a regulatory environment that can be challenging for foreign direct investment (FDI). Economists play a crucial role in identifying these bottlenecks. Through empirical analysis, they provide the data necessary to advocate for legislative reforms that enhance ease of doing business.</w:t>
      </w:r>
    </w:p>
    <w:p>
      <w:pPr>
        <w:pStyle w:val="BodyText"/>
      </w:pPr>
      <w:r>
        <w:t xml:space="preserve">Moreover, economists must assess the sustainability of sovereign wealth investments. The Kuwait Investment Authority (KIA) is one of the oldest and largest sovereign wealth funds globally. Economists involved in managing or advising on KIA strategies must evaluate global market trends to ensure long-term returns that can support future generations once oil reserves inevitably diminish.</w:t>
      </w:r>
    </w:p>
    <w:bookmarkEnd w:id="23"/>
    <w:bookmarkStart w:id="24" w:name="X25833c85975ddc36dd68a2586099513e75211e1"/>
    <w:p>
      <w:pPr>
        <w:pStyle w:val="Heading2"/>
      </w:pPr>
      <w:r>
        <w:t xml:space="preserve">V. The Private Sector and Financial Markets</w:t>
      </w:r>
    </w:p>
    <w:p>
      <w:pPr>
        <w:pStyle w:val="FirstParagraph"/>
      </w:pPr>
      <w:r>
        <w:t xml:space="preserve">Beyond the public sector, the demand for skilled</w:t>
      </w:r>
      <w:r>
        <w:t xml:space="preserve"> </w:t>
      </w:r>
      <w:r>
        <w:rPr>
          <w:bCs/>
          <w:b/>
        </w:rPr>
        <w:t xml:space="preserve">Economists</w:t>
      </w:r>
      <w:r>
        <w:t xml:space="preserve"> </w:t>
      </w:r>
      <w:r>
        <w:t xml:space="preserve">in</w:t>
      </w:r>
      <w:r>
        <w:t xml:space="preserve"> </w:t>
      </w:r>
      <w:r>
        <w:rPr>
          <w:bCs/>
          <w:b/>
        </w:rPr>
        <w:t xml:space="preserve">Kuwait City</w:t>
      </w:r>
      <w:r>
        <w:t xml:space="preserve">'s private sector is growing. As the stock market (Boursa Kuwait) evolves and becomes more integrated with global indices, financial institutions require analysts who can interpret complex macroeconomic signals.</w:t>
      </w:r>
    </w:p>
    <w:p>
      <w:pPr>
        <w:pStyle w:val="BodyText"/>
      </w:pPr>
      <w:r>
        <w:t xml:space="preserve">In this sphere, an economist’s role involves corporate strategy and risk management. For instance, during periods of fluctuating oil prices, local conglomerates must adjust their capital expenditure plans. Economists provide the forecasts that guide these decisions. Additionally, as fintech solutions gain traction in</w:t>
      </w:r>
      <w:r>
        <w:t xml:space="preserve"> </w:t>
      </w:r>
      <w:r>
        <w:rPr>
          <w:bCs/>
          <w:b/>
        </w:rPr>
        <w:t xml:space="preserve">Kuwait City</w:t>
      </w:r>
      <w:r>
        <w:t xml:space="preserve">, economists are increasingly needed to understand the macroeconomic implications of digital currencies and blockchain technology on traditional banking systems.</w:t>
      </w:r>
    </w:p>
    <w:bookmarkEnd w:id="24"/>
    <w:bookmarkStart w:id="25" w:name="vi.-human-capital-and-education"/>
    <w:p>
      <w:pPr>
        <w:pStyle w:val="Heading2"/>
      </w:pPr>
      <w:r>
        <w:t xml:space="preserve">VI. Human Capital and Education</w:t>
      </w:r>
    </w:p>
    <w:p>
      <w:pPr>
        <w:pStyle w:val="FirstParagraph"/>
      </w:pPr>
      <w:r>
        <w:t xml:space="preserve">The efficacy of any economic policy depends on the quality of human capital executing it. In</w:t>
      </w:r>
      <w:r>
        <w:t xml:space="preserve"> </w:t>
      </w:r>
      <w:r>
        <w:rPr>
          <w:bCs/>
          <w:b/>
        </w:rPr>
        <w:t xml:space="preserve">Kuwait City</w:t>
      </w:r>
      <w:r>
        <w:t xml:space="preserve">, there is a concerted effort to enhance the capabilities of local economists through education and training. Universities are updating their curricula to include more rigorous quantitative methods, econometrics, and behavioral economics.</w:t>
      </w:r>
    </w:p>
    <w:p>
      <w:pPr>
        <w:pStyle w:val="BodyText"/>
      </w:pPr>
      <w:r>
        <w:t xml:space="preserve">This shift is vital. Traditional reliance on intuition or historical precedent is insufficient in a data-driven world. By empowering the next generation of</w:t>
      </w:r>
      <w:r>
        <w:t xml:space="preserve"> </w:t>
      </w:r>
      <w:r>
        <w:rPr>
          <w:bCs/>
          <w:b/>
        </w:rPr>
        <w:t xml:space="preserve">Economists</w:t>
      </w:r>
      <w:r>
        <w:t xml:space="preserve"> </w:t>
      </w:r>
      <w:r>
        <w:t xml:space="preserve">with advanced analytical tools, Kuwait City can ensure that its policy decisions are grounded in robust scientific methodology rather than political expediency. Collaboration with international institutions allows local economists to benchmark their work against global standards, fostering a culture of excellence and accountability.</w:t>
      </w:r>
    </w:p>
    <w:bookmarkEnd w:id="25"/>
    <w:bookmarkStart w:id="26" w:name="vii.-conclusion"/>
    <w:p>
      <w:pPr>
        <w:pStyle w:val="Heading2"/>
      </w:pPr>
      <w:r>
        <w:t xml:space="preserve">VII. Conclusion</w:t>
      </w:r>
    </w:p>
    <w:p>
      <w:pPr>
        <w:pStyle w:val="FirstParagraph"/>
      </w:pPr>
      <w:r>
        <w:t xml:space="preserve">In conclusion, the position of the</w:t>
      </w:r>
      <w:r>
        <w:t xml:space="preserve"> </w:t>
      </w:r>
      <w:r>
        <w:rPr>
          <w:bCs/>
          <w:b/>
        </w:rPr>
        <w:t xml:space="preserve">Economist</w:t>
      </w:r>
      <w:r>
        <w:t xml:space="preserve"> </w:t>
      </w:r>
      <w:r>
        <w:t xml:space="preserve">in</w:t>
      </w:r>
      <w:r>
        <w:t xml:space="preserve"> </w:t>
      </w:r>
      <w:r>
        <w:rPr>
          <w:bCs/>
          <w:b/>
        </w:rPr>
        <w:t xml:space="preserve">Kuwait City</w:t>
      </w:r>
      <w:r>
        <w:t xml:space="preserve"> </w:t>
      </w:r>
      <w:r>
        <w:t xml:space="preserve">is both challenging and indispensable. As the nation navigates the transition from an oil-dependent economy to a diversified knowledge-based hub, rigorous economic analysis becomes even more critical. From maintaining currency stability at the Central Bank to guiding private sector investments and advising on fiscal reforms, economists provide the intellectual infrastructure necessary for sustainable growth.</w:t>
      </w:r>
    </w:p>
    <w:p>
      <w:pPr>
        <w:pStyle w:val="BodyText"/>
      </w:pPr>
      <w:r>
        <w:t xml:space="preserve">The future prosperity of</w:t>
      </w:r>
      <w:r>
        <w:t xml:space="preserve"> </w:t>
      </w:r>
      <w:r>
        <w:rPr>
          <w:bCs/>
          <w:b/>
        </w:rPr>
        <w:t xml:space="preserve">Kuwait City</w:t>
      </w:r>
      <w:r>
        <w:t xml:space="preserve"> </w:t>
      </w:r>
      <w:r>
        <w:t xml:space="preserve">hinges on its ability to leverage the expertise of these professionals. By fostering an environment that values evidence-based policymaking and continuous academic improvement, Kuwait can mitigate external shocks and build a resilient economy capable of thriving in an increasingly interconnected world. The economist, therefore, is not just a commentator on economic events but a central actor in shaping the destiny of this vibrant Gulf metropolis.</w:t>
      </w:r>
    </w:p>
    <w:bookmarkEnd w:id="26"/>
    <w:bookmarkStart w:id="27" w:name="viii.-references"/>
    <w:p>
      <w:pPr>
        <w:pStyle w:val="Heading2"/>
      </w:pPr>
      <w:r>
        <w:t xml:space="preserve">VIII. References</w:t>
      </w:r>
    </w:p>
    <w:p>
      <w:pPr>
        <w:pStyle w:val="FirstParagraph"/>
      </w:pPr>
      <w:r>
        <w:rPr>
          <w:iCs/>
          <w:i/>
        </w:rPr>
        <w:t xml:space="preserve">Note: The following references are illustrative for the purpose of this academic format.</w:t>
      </w:r>
    </w:p>
    <w:p>
      <w:pPr>
        <w:numPr>
          <w:ilvl w:val="0"/>
          <w:numId w:val="1001"/>
        </w:numPr>
        <w:pStyle w:val="Compact"/>
      </w:pPr>
      <w:r>
        <w:t xml:space="preserve">Central Bank of Kuwait. (2023). *Annual Report on Monetary Stability and Economic Developments*. Kuwait City.</w:t>
      </w:r>
    </w:p>
    <w:p>
      <w:pPr>
        <w:numPr>
          <w:ilvl w:val="0"/>
          <w:numId w:val="1001"/>
        </w:numPr>
        <w:pStyle w:val="Compact"/>
      </w:pPr>
      <w:r>
        <w:t xml:space="preserve">Kuwait Investment Authority. (2024). *Strategic Review and Long-term Performance Analysis*. Safat, Kuwait.</w:t>
      </w:r>
    </w:p>
    <w:p>
      <w:pPr>
        <w:numPr>
          <w:ilvl w:val="0"/>
          <w:numId w:val="1001"/>
        </w:numPr>
        <w:pStyle w:val="Compact"/>
      </w:pPr>
      <w:r>
        <w:t xml:space="preserve">Al-Mutairi, H. (2022). "Fiscal Policy Challenges in Oil-Rich Gulf States." *Journal of Middle Eastern Economics*, 15(3), 45-67.</w:t>
      </w:r>
    </w:p>
    <w:p>
      <w:pPr>
        <w:numPr>
          <w:ilvl w:val="0"/>
          <w:numId w:val="1001"/>
        </w:numPr>
        <w:pStyle w:val="Compact"/>
      </w:pPr>
      <w:r>
        <w:t xml:space="preserve">Vision 2035 Development Plan Committee. (2019). *The New Kuwait: Sustainable Development Framework*. Ministry of Planning, Kuwait City.</w:t>
      </w:r>
    </w:p>
    <w:p>
      <w:pPr>
        <w:numPr>
          <w:ilvl w:val="0"/>
          <w:numId w:val="1001"/>
        </w:numPr>
        <w:pStyle w:val="Compact"/>
      </w:pPr>
      <w:r>
        <w:t xml:space="preserve">Rodrik, D. (2018). *Straight Talk on Trade: Ideas for a Sane World Economy*. Princeton University Press. [Cited for comparative economic frameworks].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Shaping Monetary Policy and Financial Stability in Kuwait City: An Academic Perspective</dc:title>
  <dc:creator/>
  <cp:keywords/>
  <dcterms:created xsi:type="dcterms:W3CDTF">2026-07-29T13:25:55Z</dcterms:created>
  <dcterms:modified xsi:type="dcterms:W3CDTF">2026-07-29T13:25:55Z</dcterms:modified>
</cp:coreProperties>
</file>

<file path=docProps/custom.xml><?xml version="1.0" encoding="utf-8"?>
<Properties xmlns="http://schemas.openxmlformats.org/officeDocument/2006/custom-properties" xmlns:vt="http://schemas.openxmlformats.org/officeDocument/2006/docPropsVTypes"/>
</file>