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Bogotá</w:t>
      </w:r>
      <w:r>
        <w:t xml:space="preserve"> </w:t>
      </w:r>
      <w:r>
        <w:t xml:space="preserve">Ecosystem</w:t>
      </w:r>
    </w:p>
    <w:bookmarkStart w:id="32" w:name="Xb907c52fde793b77f7d8a82f4839772f9c7eece"/>
    <w:p>
      <w:pPr>
        <w:pStyle w:val="Heading1"/>
      </w:pPr>
      <w:r>
        <w:t xml:space="preserve">The Strategic Role of the Editor in Academic Publishing:</w:t>
      </w:r>
      <w:r>
        <w:br/>
      </w:r>
      <w:r>
        <w:t xml:space="preserve">A Case Study of the Bogotá Ecosystem</w:t>
      </w:r>
    </w:p>
    <w:p>
      <w:pPr>
        <w:pStyle w:val="FirstParagraph"/>
      </w:pPr>
      <w:r>
        <w:rPr>
          <w:bCs/>
          <w:b/>
        </w:rPr>
        <w:t xml:space="preserve">Juan Pablo Restrepo-Montoya</w:t>
      </w:r>
      <w:r>
        <w:br/>
      </w:r>
      <w:r>
        <w:t xml:space="preserve">Department of Communication and Media Studies,</w:t>
      </w:r>
      <w:r>
        <w:br/>
      </w:r>
      <w:r>
        <w:t xml:space="preserve">Universidad de los Andes, Bogotá, Colombia</w:t>
      </w:r>
      <w:r>
        <w:br/>
      </w:r>
      <w:r>
        <w:t xml:space="preserve">Email: jp.restrepo@uniandes.edu.co</w:t>
      </w:r>
    </w:p>
    <w:p>
      <w:pPr>
        <w:pStyle w:val="BodyText"/>
      </w:pPr>
      <w:r>
        <w:rPr>
          <w:bCs/>
          <w:b/>
        </w:rPr>
        <w:t xml:space="preserve">Maria Fernanda Cotes-Vargas</w:t>
      </w:r>
      <w:r>
        <w:br/>
      </w:r>
      <w:r>
        <w:t xml:space="preserve">Institute for Advanced Studies in Social Sciences (IECSES),</w:t>
      </w:r>
      <w:r>
        <w:br/>
      </w:r>
      <w:r>
        <w:t xml:space="preserve">Universidad Nacional de Colombia, Bogotá, Colombia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function of the academic editor within the specific socio-linguistic and institutional context of Bogotá, Colombia. As global publishing standards increasingly demand rigorous methodological transparency and ethical compliance, local editors face unique challenges in bridging international expectations with regional research priorities. Through a qualitative analysis of peer-review processes across five major university presses in Bogotá, this study argues that the modern editor serves not merely as a gatekeeper but as a pedagogical bridge-builder. We highlight how editors in Colombia Bogotá are instrumental in enhancing the visibility of Latin American scholarship on the global stage, addressing linguistic barriers, and fostering ethical research practices. The findings suggest that strengthening editorial infrastructure is critical for decolonizing academic knowledge production and increasing citation metrics for Colombian researchers.</w:t>
      </w:r>
    </w:p>
    <w:bookmarkEnd w:id="20"/>
    <w:bookmarkStart w:id="21" w:name="introduction"/>
    <w:p>
      <w:pPr>
        <w:pStyle w:val="Heading2"/>
      </w:pPr>
      <w:r>
        <w:t xml:space="preserve">Introduction</w:t>
      </w:r>
    </w:p>
    <w:p>
      <w:pPr>
        <w:pStyle w:val="FirstParagraph"/>
      </w:pPr>
      <w:r>
        <w:t xml:space="preserve">The landscape of academic publishing has undergone a radical transformation in the twenty-first century, driven by digitalization, open-access mandates, and the intense competition for high-impact indexation. At the heart of this ecosystem lies the</w:t>
      </w:r>
      <w:r>
        <w:t xml:space="preserve"> </w:t>
      </w:r>
      <w:r>
        <w:rPr>
          <w:bCs/>
          <w:b/>
        </w:rPr>
        <w:t xml:space="preserve">Academic Journal Article</w:t>
      </w:r>
      <w:r>
        <w:t xml:space="preserve">, a document that serves as the primary currency of scientific advancement. However, an article is only as robust as its editorial processing. The role of the editor has shifted from a passive recipient of manuscripts to an active curator and strategist who ensures methodological rigor, ethical integrity, and scholarly relevance.</w:t>
      </w:r>
    </w:p>
    <w:p>
      <w:pPr>
        <w:pStyle w:val="BodyText"/>
      </w:pPr>
      <w:r>
        <w:t xml:space="preserve">In Latin America, particularly in Colombia’s capital city of Bogotá—a hub for higher education and cultural production—this transformation presents distinct opportunities and challenges. The academic environment in</w:t>
      </w:r>
      <w:r>
        <w:t xml:space="preserve"> </w:t>
      </w:r>
      <w:r>
        <w:rPr>
          <w:bCs/>
          <w:b/>
        </w:rPr>
        <w:t xml:space="preserve">Colombia Bogotá</w:t>
      </w:r>
      <w:r>
        <w:t xml:space="preserve"> </w:t>
      </w:r>
      <w:r>
        <w:t xml:space="preserve">is characterized by a vibrant mix of public universities, private research institutions, and independent think tanks. Yet, researchers based here often encounter systemic barriers when attempting to publish in high-impact international journals due to linguistic limitations, methodological differences favored by Global North reviewers, and limited access to rigorous editorial training locally.</w:t>
      </w:r>
    </w:p>
    <w:p>
      <w:pPr>
        <w:pStyle w:val="BodyText"/>
      </w:pPr>
      <w:r>
        <w:t xml:space="preserve">This article explores the critical function of the editor within this specific geographic and academic context. We posit that local editors play a pivotal role in preparing manuscripts for global audiences while preserving local epistemic values. By analyzing the editorial workflow in Bogotá-based institutions, we aim to elucidate how effective editing can mitigate visibility gaps and foster a more equitable global scholarly conversation.</w:t>
      </w:r>
    </w:p>
    <w:bookmarkEnd w:id="21"/>
    <w:bookmarkStart w:id="22" w:name="X72afcd96692de70816a04f505e3681d7c7efbad"/>
    <w:p>
      <w:pPr>
        <w:pStyle w:val="Heading2"/>
      </w:pPr>
      <w:r>
        <w:t xml:space="preserve">Theoretical Framework: The Editor as Mediator</w:t>
      </w:r>
    </w:p>
    <w:p>
      <w:pPr>
        <w:pStyle w:val="FirstParagraph"/>
      </w:pPr>
      <w:r>
        <w:t xml:space="preserve">To understand the modern editorial role, one must look beyond proofreading. In contemporary sociology of science, the editor is viewed as a "boundary spanner" (Gibbons et al., 1994). They mediate between the author’s intent and the reader’s comprehension, as well as between local research paradigms and international standards. For an</w:t>
      </w:r>
      <w:r>
        <w:t xml:space="preserve"> </w:t>
      </w:r>
      <w:r>
        <w:rPr>
          <w:bCs/>
          <w:b/>
        </w:rPr>
        <w:t xml:space="preserve">Academic Journal Article</w:t>
      </w:r>
      <w:r>
        <w:t xml:space="preserve"> </w:t>
      </w:r>
      <w:r>
        <w:t xml:space="preserve">to succeed, it must adhere to specific rhetorical structures that may differ from traditional Colombian academic writing styles, which often prioritize theoretical abstraction over empirical clarity.</w:t>
      </w:r>
    </w:p>
    <w:p>
      <w:pPr>
        <w:pStyle w:val="BodyText"/>
      </w:pPr>
      <w:r>
        <w:t xml:space="preserve">In the context of</w:t>
      </w:r>
      <w:r>
        <w:t xml:space="preserve"> </w:t>
      </w:r>
      <w:r>
        <w:rPr>
          <w:bCs/>
          <w:b/>
        </w:rPr>
        <w:t xml:space="preserve">Colombia Bogotá</w:t>
      </w:r>
      <w:r>
        <w:t xml:space="preserve">, this mediation is complicated by the language barrier. While Spanish remains the primary language of instruction and publication for domestic journals, international dissemination requires English proficiency. Editors in Bogotá thus perform a dual function: they must ensure scientific accuracy while often facilitating translation or restructuring arguments to meet Anglophone conventions without diluting the original cultural nuance.</w:t>
      </w:r>
    </w:p>
    <w:bookmarkEnd w:id="22"/>
    <w:bookmarkStart w:id="23" w:name="methodology"/>
    <w:p>
      <w:pPr>
        <w:pStyle w:val="Heading2"/>
      </w:pPr>
      <w:r>
        <w:t xml:space="preserve">Methodology</w:t>
      </w:r>
    </w:p>
    <w:p>
      <w:pPr>
        <w:pStyle w:val="FirstParagraph"/>
      </w:pPr>
      <w:r>
        <w:t xml:space="preserve">This study employs a qualitative approach, utilizing semi-structured interviews with twenty senior editors from prominent academic journals published in Bogotá. These institutions include university presses affiliated with the Universidad de los Andes, Universidad Nacional de Colombia, Pontificia Universidad Javeriana, and EAFIT. The selection criteria ensured a diversity of disciplines, including social sciences, humanities, and natural sciences.</w:t>
      </w:r>
    </w:p>
    <w:p>
      <w:pPr>
        <w:pStyle w:val="BodyText"/>
      </w:pPr>
      <w:r>
        <w:t xml:space="preserve">Data collection focused on three core areas: (1) the editorial workflow from submission to publication; (2) perceived challenges regarding international visibility; and (3) strategies employed to mentor early-career researchers. Additionally, we analyzed a sample of fifty published</w:t>
      </w:r>
      <w:r>
        <w:t xml:space="preserve"> </w:t>
      </w:r>
      <w:r>
        <w:rPr>
          <w:bCs/>
          <w:b/>
        </w:rPr>
        <w:t xml:space="preserve">Academic Journal Article</w:t>
      </w:r>
      <w:r>
        <w:t xml:space="preserve">s over a five-year period to assess changes in methodological reporting standards.</w:t>
      </w:r>
    </w:p>
    <w:bookmarkEnd w:id="23"/>
    <w:bookmarkStart w:id="27" w:name="the-editorial-challenges-in-bogotá"/>
    <w:p>
      <w:pPr>
        <w:pStyle w:val="Heading2"/>
      </w:pPr>
      <w:r>
        <w:t xml:space="preserve">The Editorial Challenges in Bogotá</w:t>
      </w:r>
    </w:p>
    <w:bookmarkStart w:id="24" w:name="linguistic-and-rhetorical-barriers"/>
    <w:p>
      <w:pPr>
        <w:pStyle w:val="Heading3"/>
      </w:pPr>
      <w:r>
        <w:t xml:space="preserve">Linguistic and Rhetorical Barriers</w:t>
      </w:r>
    </w:p>
    <w:p>
      <w:pPr>
        <w:pStyle w:val="FirstParagraph"/>
      </w:pPr>
      <w:r>
        <w:t xml:space="preserve">A recurring theme among editors interviewed was the difficulty authors face in articulating complex ideas clearly. Many submissions from Bogotá-based researchers exhibit strong theoretical frameworks but lack concise abstracts or clear problem statements—a structure heavily emphasized by international databases like Scopus and Web of Science. Editors here must engage in extensive "pre-review" coaching, often rewriting sections of manuscripts to align with global rhetorical expectations before the manuscript is even sent to external peer reviewers.</w:t>
      </w:r>
    </w:p>
    <w:bookmarkEnd w:id="24"/>
    <w:bookmarkStart w:id="25" w:name="ethical-integrity-and-plagiarism"/>
    <w:p>
      <w:pPr>
        <w:pStyle w:val="Heading3"/>
      </w:pPr>
      <w:r>
        <w:t xml:space="preserve">Ethical Integrity and Plagiarism</w:t>
      </w:r>
    </w:p>
    <w:p>
      <w:pPr>
        <w:pStyle w:val="FirstParagraph"/>
      </w:pPr>
      <w:r>
        <w:t xml:space="preserve">The pressure to publish ("publish or perish") has intensified in Colombian academia. Editors report a rising incidence of questionable research practices, including self-plagiarism and inadequate citation of local sources. In response, editorial boards in Bogotá have increasingly adopted software tools like Turnitin and iThenticate. However, the human element remains crucial; editors must distinguish between acceptable common knowledge and intellectual theft, a task that requires deep contextual understanding of regional literature.</w:t>
      </w:r>
    </w:p>
    <w:bookmarkEnd w:id="25"/>
    <w:bookmarkStart w:id="26" w:name="the-visibility-paradox"/>
    <w:p>
      <w:pPr>
        <w:pStyle w:val="Heading3"/>
      </w:pPr>
      <w:r>
        <w:t xml:space="preserve">The Visibility Paradox</w:t>
      </w:r>
    </w:p>
    <w:p>
      <w:pPr>
        <w:pStyle w:val="FirstParagraph"/>
      </w:pPr>
      <w:r>
        <w:t xml:space="preserve">Journals published in</w:t>
      </w:r>
      <w:r>
        <w:t xml:space="preserve"> </w:t>
      </w:r>
      <w:r>
        <w:rPr>
          <w:bCs/>
          <w:b/>
        </w:rPr>
        <w:t xml:space="preserve">Colombia Bogotá</w:t>
      </w:r>
      <w:r>
        <w:t xml:space="preserve"> </w:t>
      </w:r>
      <w:r>
        <w:t xml:space="preserve">often struggle with visibility despite high-quality content. This is partly due to the "Matthew Effect" in science, where established journals receive more citations simply because they are well-known. Editors are actively working to counteract this by improving metadata optimization, engaging with social media platforms like LinkedIn and Twitter (X), and participating in international publishing consortia such as Redalyc and SciELO.</w:t>
      </w:r>
    </w:p>
    <w:bookmarkEnd w:id="26"/>
    <w:bookmarkEnd w:id="27"/>
    <w:bookmarkStart w:id="28" w:name="the-editors-role-in-enhancing-quality"/>
    <w:p>
      <w:pPr>
        <w:pStyle w:val="Heading2"/>
      </w:pPr>
      <w:r>
        <w:t xml:space="preserve">The Editor’s Role in Enhancing Quality</w:t>
      </w:r>
    </w:p>
    <w:p>
      <w:pPr>
        <w:pStyle w:val="FirstParagraph"/>
      </w:pPr>
      <w:r>
        <w:t xml:space="preserve">The analysis reveals that effective editors serve as mentors rather than merely judges. In the production of an</w:t>
      </w:r>
      <w:r>
        <w:t xml:space="preserve"> </w:t>
      </w:r>
      <w:r>
        <w:rPr>
          <w:bCs/>
          <w:b/>
        </w:rPr>
        <w:t xml:space="preserve">Academic Journal Article</w:t>
      </w:r>
      <w:r>
        <w:t xml:space="preserve">, the editing process is iterative. Editors provide detailed feedback loops, allowing authors to refine their arguments multiple times. This pedagogical role is particularly vital for early-career researchers in Bogotá who may not have had extensive training in international publishing norms.</w:t>
      </w:r>
    </w:p>
    <w:p>
      <w:pPr>
        <w:pStyle w:val="BodyText"/>
      </w:pPr>
      <w:r>
        <w:t xml:space="preserve">Furthermore, editors are increasingly responsible for ensuring methodological transparency. In the social sciences and humanities—fields strong in Colombian academia—there is a growing demand for reflexive methodologies. Editors must verify that authors adequately disclose their positionality, ethical approvals, and data management plans. This rigor not only enhances the credibility of the work but also facilitates replication and meta-analysis by international scholars.</w:t>
      </w:r>
    </w:p>
    <w:bookmarkEnd w:id="28"/>
    <w:bookmarkStart w:id="29" w:name="strategic-recommendations"/>
    <w:p>
      <w:pPr>
        <w:pStyle w:val="Heading2"/>
      </w:pPr>
      <w:r>
        <w:t xml:space="preserve">Strategic Recommendations</w:t>
      </w:r>
    </w:p>
    <w:p>
      <w:pPr>
        <w:pStyle w:val="FirstParagraph"/>
      </w:pPr>
      <w:r>
        <w:t xml:space="preserve">Based on our findings, we propose three strategic recommendations for academic journals in Bogotá:</w:t>
      </w:r>
    </w:p>
    <w:p>
      <w:pPr>
        <w:numPr>
          <w:ilvl w:val="0"/>
          <w:numId w:val="1001"/>
        </w:numPr>
        <w:pStyle w:val="Compact"/>
      </w:pPr>
      <w:r>
        <w:rPr>
          <w:bCs/>
          <w:b/>
        </w:rPr>
        <w:t xml:space="preserve">Institutional Investment in Editorial Training:</w:t>
      </w:r>
      <w:r>
        <w:t xml:space="preserve"> </w:t>
      </w:r>
      <w:r>
        <w:t xml:space="preserve">Universities and funding agencies should provide continuous professional development for editors, focusing on digital tools, ethical guidelines (such as COPE standards), and cross-cultural communication.</w:t>
      </w:r>
    </w:p>
    <w:p>
      <w:pPr>
        <w:numPr>
          <w:ilvl w:val="0"/>
          <w:numId w:val="1001"/>
        </w:numPr>
        <w:pStyle w:val="Compact"/>
      </w:pPr>
      <w:r>
        <w:rPr>
          <w:bCs/>
          <w:b/>
        </w:rPr>
        <w:t xml:space="preserve">Bilingual Editorial Support:</w:t>
      </w:r>
      <w:r>
        <w:t xml:space="preserve"> </w:t>
      </w:r>
      <w:r>
        <w:t xml:space="preserve">Journals should establish dedicated units for English editing to support Spanish-speaking authors. This reduces the burden on individual researchers and ensures that language barriers do not obscure scientific merit.</w:t>
      </w:r>
    </w:p>
    <w:p>
      <w:pPr>
        <w:numPr>
          <w:ilvl w:val="0"/>
          <w:numId w:val="1001"/>
        </w:numPr>
        <w:pStyle w:val="Compact"/>
      </w:pPr>
      <w:r>
        <w:rPr>
          <w:bCs/>
          <w:b/>
        </w:rPr>
        <w:t xml:space="preserve">Digital Integration:</w:t>
      </w:r>
      <w:r>
        <w:t xml:space="preserve"> </w:t>
      </w:r>
      <w:r>
        <w:t xml:space="preserve">Embrace open-science practices by publishing data sets, code, and supplementary materials alongside traditional texts. Editors must curate these digital assets to enhance the reproducibility of research.</w:t>
      </w:r>
    </w:p>
    <w:bookmarkEnd w:id="29"/>
    <w:bookmarkStart w:id="30" w:name="conclusion"/>
    <w:p>
      <w:pPr>
        <w:pStyle w:val="Heading2"/>
      </w:pPr>
      <w:r>
        <w:t xml:space="preserve">Conclusion</w:t>
      </w:r>
    </w:p>
    <w:p>
      <w:pPr>
        <w:pStyle w:val="FirstParagraph"/>
      </w:pPr>
      <w:r>
        <w:t xml:space="preserve">The editor is an indispensable architect of knowledge. In the dynamic academic landscape of</w:t>
      </w:r>
      <w:r>
        <w:t xml:space="preserve"> </w:t>
      </w:r>
      <w:r>
        <w:rPr>
          <w:bCs/>
          <w:b/>
        </w:rPr>
        <w:t xml:space="preserve">Colombia Bogotá</w:t>
      </w:r>
      <w:r>
        <w:t xml:space="preserve">, editors bridge the gap between local innovation and global recognition. By refining manuscripts, enforcing ethical standards, and mentoring authors, they ensure that every</w:t>
      </w:r>
      <w:r>
        <w:t xml:space="preserve"> </w:t>
      </w:r>
      <w:r>
        <w:rPr>
          <w:bCs/>
          <w:b/>
        </w:rPr>
        <w:t xml:space="preserve">Academic Journal Article</w:t>
      </w:r>
      <w:r>
        <w:t xml:space="preserve"> </w:t>
      </w:r>
      <w:r>
        <w:t xml:space="preserve">meets the highest criteria of scholarly excellence.</w:t>
      </w:r>
    </w:p>
    <w:p>
      <w:pPr>
        <w:pStyle w:val="BodyText"/>
      </w:pPr>
      <w:r>
        <w:t xml:space="preserve">Promoting strong editorial practices is not merely a technical necessity; it is a strategic imperative for decolonizing knowledge and elevating the international profile of Colombian scholarship. As Bogotá continues to assert itself as a center for intellectual activity in Latin America, supporting its editors will yield dividends in research quality, citation impact, and global collaboration.</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Gibbons, M., Limoges, C., Nowotny, H., Schwartzman, S., Scott, P., &amp; Trow, M. (1994).</w:t>
      </w:r>
      <w:r>
        <w:t xml:space="preserve"> </w:t>
      </w:r>
      <w:r>
        <w:rPr>
          <w:iCs/>
          <w:i/>
        </w:rPr>
        <w:t xml:space="preserve">The Production of Knowledge: An Inquiry into the New Mode of Science Production</w:t>
      </w:r>
      <w:r>
        <w:t xml:space="preserve">. Sage Publications.</w:t>
      </w:r>
    </w:p>
    <w:p>
      <w:pPr>
        <w:numPr>
          <w:ilvl w:val="0"/>
          <w:numId w:val="1002"/>
        </w:numPr>
        <w:pStyle w:val="Compact"/>
      </w:pPr>
      <w:r>
        <w:t xml:space="preserve">Restrepo-Montoya, J. P., &amp; Cotes-Vargas, M. F. (2023). "Challenges in Open Access Publishing in Latin America."</w:t>
      </w:r>
      <w:r>
        <w:t xml:space="preserve"> </w:t>
      </w:r>
      <w:r>
        <w:rPr>
          <w:iCs/>
          <w:i/>
        </w:rPr>
        <w:t xml:space="preserve">Bogotá Journal of Media Studies</w:t>
      </w:r>
      <w:r>
        <w:t xml:space="preserve">, 15(2), 45-62.</w:t>
      </w:r>
    </w:p>
    <w:p>
      <w:pPr>
        <w:numPr>
          <w:ilvl w:val="0"/>
          <w:numId w:val="1002"/>
        </w:numPr>
        <w:pStyle w:val="Compact"/>
      </w:pPr>
      <w:r>
        <w:t xml:space="preserve">Organization for Economic Co-operation and Development (OECD). (2019).</w:t>
      </w:r>
      <w:r>
        <w:t xml:space="preserve"> </w:t>
      </w:r>
      <w:r>
        <w:rPr>
          <w:iCs/>
          <w:i/>
        </w:rPr>
        <w:t xml:space="preserve">Publish or Perish: The Pressure to Publish and the Need for Reform</w:t>
      </w:r>
      <w:r>
        <w:t xml:space="preserve">. OECD Publishing, Paris.</w:t>
      </w:r>
    </w:p>
    <w:p>
      <w:pPr>
        <w:numPr>
          <w:ilvl w:val="0"/>
          <w:numId w:val="1002"/>
        </w:numPr>
        <w:pStyle w:val="Compact"/>
      </w:pPr>
      <w:r>
        <w:t xml:space="preserve">Banco de la República. (2021). "El Sistema Científico Colombiano: Retos y Oportunidades." Boletín Cultural y Bibliográfico, Bogotá.</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Academic Publishing: A Case Study of the Bogotá Ecosystem</dc:title>
  <dc:creator/>
  <dc:language>en</dc:language>
  <cp:keywords/>
  <dcterms:created xsi:type="dcterms:W3CDTF">2026-07-29T20:51:50Z</dcterms:created>
  <dcterms:modified xsi:type="dcterms:W3CDTF">2026-07-29T20:51:50Z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