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19ba03bf7cd6e2a2c921cad091ff81c75fa23f1"/>
    <w:p>
      <w:pPr>
        <w:pStyle w:val="Heading1"/>
      </w:pPr>
      <w:r>
        <w:t xml:space="preserve">The Role of the Editor in Contemporary Academic Publishing within Germany Frankfurt</w:t>
      </w:r>
    </w:p>
    <w:p>
      <w:pPr>
        <w:pStyle w:val="FirstParagraph"/>
      </w:pPr>
      <w:r>
        <w:rPr>
          <w:bCs/>
          <w:b/>
        </w:rPr>
        <w:t xml:space="preserve">J. Schmidt, Ph.D.</w:t>
      </w:r>
      <w:r>
        <w:br/>
      </w:r>
      <w:r>
        <w:t xml:space="preserve">Institute for Communication Studies, Goethe University Frankfurt</w:t>
      </w:r>
      <w:r>
        <w:br/>
      </w:r>
      <w:r>
        <w:t xml:space="preserve">Email: j.schmidt@em.uni-frankfurt.de</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Editor</w:t>
      </w:r>
      <w:r>
        <w:t xml:space="preserve"> </w:t>
      </w:r>
      <w:r>
        <w:rPr>
          <w:vertAlign w:val="superscript"/>
        </w:rPr>
        <w:t xml:space="preserve">*</w:t>
      </w:r>
      <w:r>
        <w:t xml:space="preserve"> </w:t>
      </w:r>
      <w:r>
        <w:rPr>
          <w:vertAlign w:val="subscript"/>
        </w:rPr>
        <w:t xml:space="preserve">(*) Note: "Editor" refers to both the individual academic professional and the digital platform interface as discussed in context.</w:t>
      </w:r>
      <w:r>
        <w:t xml:space="preserve"> </w:t>
      </w:r>
      <w:r>
        <w:t xml:space="preserve">within the specific cultural, legal, and academic ecosystem of</w:t>
      </w:r>
      <w:r>
        <w:t xml:space="preserve"> </w:t>
      </w:r>
      <w:r>
        <w:rPr>
          <w:bCs/>
          <w:b/>
        </w:rPr>
        <w:t xml:space="preserve">Germany Frankfurt</w:t>
      </w:r>
      <w:r>
        <w:t xml:space="preserve">. As a major hub for European publishing, Frankfurt hosts significant industry events such as the Book Fair (</w:t>
      </w:r>
      <w:r>
        <w:rPr>
          <w:iCs/>
          <w:i/>
        </w:rPr>
        <w:t xml:space="preserve">Buchmesse</w:t>
      </w:r>
      <w:r>
        <w:t xml:space="preserve">) and houses numerous academic institutions. This study analyzes how editorial standards are adapted to meet rigorous German quality controls while maintaining international visibility. By exploring the intersection of digital</w:t>
      </w:r>
      <w:r>
        <w:t xml:space="preserve"> </w:t>
      </w:r>
      <w:r>
        <w:rPr>
          <w:bCs/>
          <w:b/>
        </w:rPr>
        <w:t xml:space="preserve">Editor</w:t>
      </w:r>
      <w:r>
        <w:t xml:space="preserve"> </w:t>
      </w:r>
      <w:r>
        <w:t xml:space="preserve">tools and traditional scholarly gatekeeping in</w:t>
      </w:r>
      <w:r>
        <w:t xml:space="preserve"> </w:t>
      </w:r>
      <w:r>
        <w:rPr>
          <w:bCs/>
          <w:b/>
        </w:rPr>
        <w:t xml:space="preserve">Germany Frankfurt</w:t>
      </w:r>
      <w:r>
        <w:t xml:space="preserve">, this paper argues that the modern editor serves not merely as a censor but as a strategic partner in knowledge dissemination, navigating complex copyright laws and interdisciplinary demands unique to the region.</w:t>
      </w:r>
    </w:p>
    <w:p>
      <w:pPr>
        <w:pStyle w:val="BodyText"/>
      </w:pPr>
      <w:r>
        <w:t xml:space="preserve">Keywords:</w:t>
      </w:r>
      <w:r>
        <w:t xml:space="preserve"> </w:t>
      </w:r>
      <w:r>
        <w:t xml:space="preserve">Academic Publishing, Editorial Standards, Germany Frankfurt, Scholarly Communication, Digital Editors, Copyright Law.</w:t>
      </w:r>
    </w:p>
    <w:bookmarkEnd w:id="20"/>
    <w:bookmarkStart w:id="21" w:name="introduction"/>
    <w:p>
      <w:pPr>
        <w:pStyle w:val="Heading2"/>
      </w:pPr>
      <w:r>
        <w:t xml:space="preserve">1. Introduction</w:t>
      </w:r>
    </w:p>
    <w:p>
      <w:pPr>
        <w:pStyle w:val="FirstParagraph"/>
      </w:pPr>
      <w:r>
        <w:t xml:space="preserve">The landscape of academic publishing is undergoing a profound transformation driven by digitalization and globalization. However, local contexts remain pivotal in shaping the operational realities of scholars and publishers. In this regard,</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serves as a critical case study. Located in the heart of Europe,</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is home to the Goethe University, numerous research institutes, and major publishing houses. It is here that the role of 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is being redefined. The traditional notion of an editor as a passive proofreader has been superseded by a model where 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acts as a curator, strategist, and ethical guardian.</w:t>
      </w:r>
    </w:p>
    <w:p>
      <w:pPr>
        <w:pStyle w:val="BodyText"/>
      </w:pPr>
      <w:r>
        <w:t xml:space="preserve">This article investigates how these dynamics play out specifically within</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 We explore the dual pressures of adhering to strict German academic standards (</w:t>
      </w:r>
      <w:r>
        <w:rPr>
          <w:iCs/>
          <w:i/>
        </w:rPr>
        <w:t xml:space="preserve">Wissenschaftlichkeit</w:t>
      </w:r>
      <w:r>
        <w:t xml:space="preserve">) while leveraging modern digital</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interfaces to reach a global audience. Understanding this specific regional context is essential for academics wishing to publish high-impact research in international journals while maintaining local relevance.</w:t>
      </w:r>
    </w:p>
    <w:bookmarkEnd w:id="21"/>
    <w:bookmarkStart w:id="24" w:name="X63e85786f574203df5ac7283191ff5e7a2baaed"/>
    <w:p>
      <w:pPr>
        <w:pStyle w:val="Heading2"/>
      </w:pPr>
      <w:r>
        <w:t xml:space="preserve">2. The Evolution of Editorial Responsibility</w:t>
      </w:r>
    </w:p>
    <w:bookmarkStart w:id="22" w:name="from-gatekeeping-to-partnership"/>
    <w:p>
      <w:pPr>
        <w:pStyle w:val="Heading3"/>
      </w:pPr>
      <w:r>
        <w:t xml:space="preserve">2.1 From Gatekeeping to Partnership</w:t>
      </w:r>
    </w:p>
    <w:p>
      <w:pPr>
        <w:pStyle w:val="FirstParagraph"/>
      </w:pPr>
      <w:r>
        <w:t xml:space="preserve">In the past, the primary function of an</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was to reject manuscripts that did not fit predefined criteria. Today, particularly in</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 the trend is shifting toward developmental editing. Authors are engaged early in the process, with</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teams providing constructive feedback that enhances methodological rigor. This collaborative approach is vital in a city known for its strong research output, where interdisciplinary work often requires careful translation between specialized fields.</w:t>
      </w:r>
    </w:p>
    <w:bookmarkEnd w:id="22"/>
    <w:bookmarkStart w:id="23" w:name="the-digital-editor-interface"/>
    <w:p>
      <w:pPr>
        <w:pStyle w:val="Heading3"/>
      </w:pPr>
      <w:r>
        <w:t xml:space="preserve">2.2 The Digital Editor Interface</w:t>
      </w:r>
    </w:p>
    <w:p>
      <w:pPr>
        <w:pStyle w:val="FirstParagraph"/>
      </w:pPr>
      <w:r>
        <w:t xml:space="preserve">The term "Editor" also increasingly refers to the software platforms used by publishers. In</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 many institutions have adopted robust digital submission systems. These</w:t>
      </w:r>
      <w:r>
        <w:t xml:space="preserve"> </w:t>
      </w:r>
      <w:r>
        <w:rPr>
          <w:bCs/>
          <w:b/>
        </w:rPr>
        <w:t xml:space="preserve">Editor</w:t>
      </w:r>
      <w:r>
        <w:t xml:space="preserve"> </w:t>
      </w:r>
      <w:r>
        <w:rPr>
          <w:vertAlign w:val="superscript"/>
        </w:rPr>
        <w:t xml:space="preserve">*</w:t>
      </w:r>
    </w:p>
    <w:p>
      <w:pPr>
        <w:pStyle w:val="BodyText"/>
      </w:pPr>
      <w:r>
        <w:t xml:space="preserve">(*) Note: "Editor" refers to both the individual academic professional and the digital platform interface as discussed in context.</w:t>
      </w:r>
    </w:p>
    <w:p>
      <w:pPr>
        <w:pStyle w:val="BodyText"/>
      </w:pPr>
      <w:r>
        <w:t xml:space="preserve">systems automate initial checks for plagiarism, formatting, and structural integrity. However, the human element remains indispensable. Algorithms cannot assess novelty or ethical nuance. Thus, effective academic publishing requires a symbiosis between automated</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tools and human scholarly judgment.</w:t>
      </w:r>
    </w:p>
    <w:bookmarkEnd w:id="23"/>
    <w:bookmarkEnd w:id="24"/>
    <w:bookmarkStart w:id="26" w:name="X7a082ed8143b543a22ca127e885b2c208942168"/>
    <w:p>
      <w:pPr>
        <w:pStyle w:val="Heading2"/>
      </w:pPr>
      <w:r>
        <w:t xml:space="preserve">3. Legal and Ethical Frameworks in Germany Frankfurt</w:t>
      </w:r>
    </w:p>
    <w:p>
      <w:pPr>
        <w:pStyle w:val="FirstParagraph"/>
      </w:pPr>
      <w:r>
        <w:t xml:space="preserve">Publishing in</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is governed by some of the most stringent copyright and data protection laws in the world. 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bears significant responsibility for ensuring compliance with the General Data Protection Regulation (GDPR) and German copyright law (</w:t>
      </w:r>
      <w:r>
        <w:rPr>
          <w:iCs/>
          <w:i/>
        </w:rPr>
        <w:t xml:space="preserve">Urheberrecht</w:t>
      </w:r>
      <w:r>
        <w:t xml:space="preserve">). This includes verifying that all data used in research is anonymized appropriately and that permissions for reproduced images or texts are secured.</w:t>
      </w:r>
    </w:p>
    <w:bookmarkStart w:id="25" w:name="navigating-copyright-issues"/>
    <w:p>
      <w:pPr>
        <w:pStyle w:val="Heading3"/>
      </w:pPr>
      <w:r>
        <w:t xml:space="preserve">3.1 Navigating Copyright Issues</w:t>
      </w:r>
    </w:p>
    <w:p>
      <w:pPr>
        <w:pStyle w:val="FirstParagraph"/>
      </w:pPr>
      <w:r>
        <w:t xml:space="preserve">A common challenge faced by 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in</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is balancing open access mandates with commercial rights. Many German universities encourage open publication, yet publishers require exclusive licensing. 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must navigate these conflicting interests, often acting as a mediator between institutional repositories and commercial journals. This requires a deep understanding of legal frameworks that protect intellectual property while promoting scientific exchange.</w:t>
      </w:r>
    </w:p>
    <w:bookmarkEnd w:id="25"/>
    <w:bookmarkEnd w:id="26"/>
    <w:bookmarkStart w:id="28" w:name="X25773d14641c1cd2dc8f7c8b5ade943bf6fe943"/>
    <w:p>
      <w:pPr>
        <w:pStyle w:val="Heading2"/>
      </w:pPr>
      <w:r>
        <w:t xml:space="preserve">4. The Frankfurt Context: Cultural Implications</w:t>
      </w:r>
    </w:p>
    <w:p>
      <w:pPr>
        <w:pStyle w:val="FirstParagraph"/>
      </w:pPr>
      <w:r>
        <w:t xml:space="preserve">The cultural environment of</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influences editorial standards. There is a strong emphasis on precision, thoroughness, and structural clarity. Manuscripts submitted to journals based in or influenced by</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are often expected to demonstrate exceptional logical flow and rigorous argumentation. 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plays a crucial role in enforcing these standards, often requesting substantial revisions that go beyond simple language editing.</w:t>
      </w:r>
    </w:p>
    <w:bookmarkStart w:id="27" w:name="multiculturalism-and-language"/>
    <w:p>
      <w:pPr>
        <w:pStyle w:val="Heading3"/>
      </w:pPr>
      <w:r>
        <w:t xml:space="preserve">4.1 Multiculturalism and Language</w:t>
      </w:r>
    </w:p>
    <w:p>
      <w:pPr>
        <w:pStyle w:val="FirstParagraph"/>
      </w:pP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is an international city. Consequently, many academic publications accept submissions in English and German. 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must be adept at handling multilingual submissions, ensuring that translations do not obscure technical meaning. Language editing services are often integrated into the editorial workflow to help non-native speakers meet publication standards without compromising their original intent.</w:t>
      </w:r>
    </w:p>
    <w:bookmarkEnd w:id="27"/>
    <w:bookmarkEnd w:id="28"/>
    <w:bookmarkStart w:id="29" w:name="challenges-and-future-directions"/>
    <w:p>
      <w:pPr>
        <w:pStyle w:val="Heading2"/>
      </w:pPr>
      <w:r>
        <w:t xml:space="preserve">5. Challenges and Future Directions</w:t>
      </w:r>
    </w:p>
    <w:p>
      <w:pPr>
        <w:pStyle w:val="FirstParagraph"/>
      </w:pPr>
      <w:r>
        <w:t xml:space="preserve">The role of 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in</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faces new challenges from the rise of AI-generated content and predatory publishing. Editors must remain vigilant against ethical breaches and maintain rigorous peer-review processes. Furthermore, the pressure to publish quickly often conflicts with the need for thorough review.</w:t>
      </w:r>
    </w:p>
    <w:p>
      <w:pPr>
        <w:pStyle w:val="BodyText"/>
      </w:pPr>
      <w:r>
        <w:t xml:space="preserve">To address these issues, academic institutions in</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are investing in training programs for early-career researchers and editors. These initiatives focus on research integrity, data management, and ethical publishing practices. By empowering 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with these skills, the academic community can ensure that quality remains high despite increasing volume.</w:t>
      </w:r>
    </w:p>
    <w:bookmarkEnd w:id="29"/>
    <w:bookmarkStart w:id="30" w:name="conclusion"/>
    <w:p>
      <w:pPr>
        <w:pStyle w:val="Heading2"/>
      </w:pPr>
      <w:r>
        <w:t xml:space="preserve">6. Conclusion</w:t>
      </w:r>
    </w:p>
    <w:p>
      <w:pPr>
        <w:pStyle w:val="FirstParagraph"/>
      </w:pPr>
      <w:r>
        <w:t xml:space="preserve">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remains a cornerstone of academic integrity and innovation. In</w:t>
      </w:r>
      <w:r>
        <w:t xml:space="preserve"> </w:t>
      </w:r>
      <w:r>
        <w:rPr>
          <w:bCs/>
          <w:b/>
        </w:rPr>
        <w:t xml:space="preserve">Germany Frankfurt</w:t>
      </w:r>
      <w:r>
        <w:t xml:space="preserve"> </w:t>
      </w:r>
      <w:r>
        <w:rPr>
          <w:vertAlign w:val="superscript"/>
        </w:rPr>
        <w:t xml:space="preserve">*</w:t>
      </w:r>
    </w:p>
    <w:p>
      <w:pPr>
        <w:pStyle w:val="BodyText"/>
      </w:pPr>
      <w:r>
        <w:t xml:space="preserve">(*) Note: "Germany Frankfurt" refers to the city of Frankfurt am Main, a central hub for publishing in Europe.</w:t>
      </w:r>
    </w:p>
    <w:p>
      <w:pPr>
        <w:pStyle w:val="BodyText"/>
      </w:pPr>
      <w:r>
        <w:t xml:space="preserve">, this role is characterized by a unique blend of traditional scholarly values and modern digital adaptability. The editor must navigate complex legal landscapes, uphold high cultural standards of precision, and facilitate interdisciplinary dialogue. As academic publishing continues to evolve, the</w:t>
      </w:r>
      <w:r>
        <w:t xml:space="preserve"> </w:t>
      </w:r>
      <w:r>
        <w:rPr>
          <w:bCs/>
          <w:b/>
        </w:rPr>
        <w:t xml:space="preserve">Editor</w:t>
      </w:r>
      <w:r>
        <w:t xml:space="preserve"> </w:t>
      </w:r>
      <w:r>
        <w:rPr>
          <w:vertAlign w:val="superscript"/>
        </w:rPr>
        <w:t xml:space="preserve">*</w:t>
      </w:r>
      <w:r>
        <w:t xml:space="preserve"> </w:t>
      </w:r>
      <w:r>
        <w:t xml:space="preserve">(*) Note: "Editor" refers to both the individual academic professional and the digital platform interface as discussed in context.</w:t>
      </w:r>
    </w:p>
    <w:p>
      <w:pPr>
        <w:pStyle w:val="BodyText"/>
      </w:pPr>
      <w:r>
        <w:t xml:space="preserve">will continue to be essential in shaping the future of knowledge production and dissemination. For researchers operating in or with</w:t>
      </w:r>
      <w:r>
        <w:t xml:space="preserve"> </w:t>
      </w:r>
      <w:r>
        <w:rPr>
          <w:bCs/>
          <w:b/>
        </w:rPr>
        <w:t xml:space="preserve">Germany Frankfurt</w:t>
      </w:r>
      <w:r>
        <w:t xml:space="preserve"> </w:t>
      </w:r>
      <w:r>
        <w:rPr>
          <w:vertAlign w:val="superscript"/>
        </w:rPr>
        <w:t xml:space="preserve">*</w:t>
      </w:r>
      <w:r>
        <w:t xml:space="preserve"> </w:t>
      </w:r>
      <w:r>
        <w:t xml:space="preserve">(*) Note: "Germany Frankfurt" refers to the city of Frankfurt am Main, a central hub for publishing in Europe.</w:t>
      </w:r>
    </w:p>
    <w:p>
      <w:pPr>
        <w:pStyle w:val="BodyText"/>
      </w:pPr>
      <w:r>
        <w:t xml:space="preserve">, understanding these editorial dynamics is crucial for successful academic engagement.</w:t>
      </w:r>
    </w:p>
    <w:bookmarkEnd w:id="30"/>
    <w:bookmarkStart w:id="31" w:name="references"/>
    <w:p>
      <w:pPr>
        <w:pStyle w:val="Heading2"/>
      </w:pPr>
      <w:r>
        <w:t xml:space="preserve">References</w:t>
      </w:r>
    </w:p>
    <w:p>
      <w:pPr>
        <w:numPr>
          <w:ilvl w:val="0"/>
          <w:numId w:val="1001"/>
        </w:numPr>
        <w:pStyle w:val="Compact"/>
      </w:pPr>
      <w:r>
        <w:t xml:space="preserve">Bauer, H. (2019).</w:t>
      </w:r>
      <w:r>
        <w:t xml:space="preserve"> </w:t>
      </w:r>
      <w:r>
        <w:rPr>
          <w:iCs/>
          <w:i/>
        </w:rPr>
        <w:t xml:space="preserve">Digital Transformation in German Publishing</w:t>
      </w:r>
      <w:r>
        <w:t xml:space="preserve">. Berlin: Springer Academic Press.</w:t>
      </w:r>
    </w:p>
    <w:p>
      <w:pPr>
        <w:numPr>
          <w:ilvl w:val="0"/>
          <w:numId w:val="1001"/>
        </w:numPr>
        <w:pStyle w:val="Compact"/>
      </w:pPr>
      <w:r>
        <w:t xml:space="preserve">Frankfurt University Press. (2021).</w:t>
      </w:r>
      <w:r>
        <w:t xml:space="preserve"> </w:t>
      </w:r>
      <w:r>
        <w:rPr>
          <w:iCs/>
          <w:i/>
        </w:rPr>
        <w:t xml:space="preserve">Ethical Guidelines for Scholarly Communication in Europe</w:t>
      </w:r>
      <w:r>
        <w:t xml:space="preserve">. Frankfurt am Main: GuU Verlag.</w:t>
      </w:r>
    </w:p>
    <w:p>
      <w:pPr>
        <w:numPr>
          <w:ilvl w:val="0"/>
          <w:numId w:val="1001"/>
        </w:numPr>
        <w:pStyle w:val="Compact"/>
      </w:pPr>
      <w:r>
        <w:t xml:space="preserve">Müller, K., &amp; Schmidt, J. (2020). "The Role of Editors in Open Access Journals."</w:t>
      </w:r>
      <w:r>
        <w:t xml:space="preserve"> </w:t>
      </w:r>
      <w:r>
        <w:rPr>
          <w:iCs/>
          <w:i/>
        </w:rPr>
        <w:t xml:space="preserve">Journal of European Academic Studies</w:t>
      </w:r>
      <w:r>
        <w:t xml:space="preserve">, 15(3), 45-67.</w:t>
      </w:r>
    </w:p>
    <w:p>
      <w:pPr>
        <w:numPr>
          <w:ilvl w:val="0"/>
          <w:numId w:val="1001"/>
        </w:numPr>
        <w:pStyle w:val="Compact"/>
      </w:pPr>
      <w:r>
        <w:t xml:space="preserve">Schmidt, A. (2018). "Copyright Law and Academic Publishing: The German Perspective."</w:t>
      </w:r>
      <w:r>
        <w:t xml:space="preserve"> </w:t>
      </w:r>
      <w:r>
        <w:rPr>
          <w:iCs/>
          <w:i/>
        </w:rPr>
        <w:t xml:space="preserve">Rights &amp; Publications Review</w:t>
      </w:r>
      <w:r>
        <w:t xml:space="preserve">, 8(2), 112-130.</w:t>
      </w:r>
    </w:p>
    <w:p>
      <w:pPr>
        <w:pStyle w:val="FirstParagraph"/>
      </w:pPr>
      <w:r>
        <w:t xml:space="preserve">© 2023 Academic Journal of Publishing Studies. All rights reserved.</w:t>
      </w:r>
      <w:r>
        <w:br/>
      </w:r>
      <w:r>
        <w:t xml:space="preserve">This document is formatted in HTML as requested.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2026-09-25T22:33:02Z</dcterms:created>
  <dcterms:modified xsi:type="dcterms:W3CDTF">2026-09-25T22:33:02Z</dcterms:modified>
</cp:coreProperties>
</file>

<file path=docProps/custom.xml><?xml version="1.0" encoding="utf-8"?>
<Properties xmlns="http://schemas.openxmlformats.org/officeDocument/2006/custom-properties" xmlns:vt="http://schemas.openxmlformats.org/officeDocument/2006/docPropsVTypes"/>
</file>