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Archivist:</w:t>
      </w:r>
      <w:r>
        <w:t xml:space="preserve"> </w:t>
      </w:r>
      <w:r>
        <w:t xml:space="preserve">Redefining</w:t>
      </w:r>
      <w:r>
        <w:t xml:space="preserve"> </w:t>
      </w:r>
      <w:r>
        <w:t xml:space="preserve">the</w:t>
      </w:r>
      <w:r>
        <w:t xml:space="preserve"> </w:t>
      </w:r>
      <w:r>
        <w:t xml:space="preserve">Editor's</w:t>
      </w:r>
      <w:r>
        <w:t xml:space="preserve"> </w:t>
      </w:r>
      <w:r>
        <w:t xml:space="preserve">Role</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29" w:name="X5bcd4b2c9400364ee5982189dfab5b51022c8b1"/>
    <w:p>
      <w:pPr>
        <w:pStyle w:val="Heading1"/>
      </w:pPr>
      <w:r>
        <w:t xml:space="preserve">The Digital Archivist:</w:t>
      </w:r>
      <w:r>
        <w:br/>
      </w:r>
      <w:r>
        <w:t xml:space="preserve">Redefining the Editor's Role in the Academic Landscape of Netherlands Amsterdam</w:t>
      </w:r>
    </w:p>
    <w:p>
      <w:pPr>
        <w:pStyle w:val="FirstParagraph"/>
      </w:pPr>
      <w:r>
        <w:rPr>
          <w:bCs/>
          <w:b/>
        </w:rPr>
        <w:t xml:space="preserve">Jordan van der Berg, Ph.D.</w:t>
      </w:r>
      <w:r>
        <w:br/>
      </w:r>
      <w:r>
        <w:t xml:space="preserve">Institute for Media Studies, University of Amsterdam</w:t>
      </w:r>
      <w:r>
        <w:br/>
      </w:r>
      <w:r>
        <w:t xml:space="preserve">Amsterdam, Netherlands</w:t>
      </w:r>
    </w:p>
    <w:bookmarkStart w:id="20" w:name="abstract"/>
    <w:p>
      <w:pPr>
        <w:pStyle w:val="Heading2"/>
      </w:pPr>
      <w:r>
        <w:t xml:space="preserve">Abstract</w:t>
      </w:r>
    </w:p>
    <w:p>
      <w:pPr>
        <w:pStyle w:val="FirstParagraph"/>
      </w:pPr>
      <w:r>
        <w:t xml:space="preserve">This article explores the evolving paradigm of the academic editor within the specific socio-technical context of Netherlands Amsterdam. As digital transformation accelerates across European publishing hubs, the traditional definition of an "editor" as merely a proofreader or copy-editor is becoming obsolete. Instead, this paper argues that in a city renowned for its progressive data policies and robust digital infrastructure, the editor has morphed into a "Digital Archivist" and strategic content architect. By analyzing case studies from major publishers headquartered in Amsterdam and examining the intersection of open-access mandates with editorial workflows, we elucidate how editors are pivotal in ensuring research integrity, accessibility, and longevity. The discussion highlights unique challenges faced by editors in Netherlands Amsterdam, including multilingual compliance standards and the ethical implications of algorithmic peer review.</w:t>
      </w:r>
    </w:p>
    <w:bookmarkEnd w:id="20"/>
    <w:bookmarkStart w:id="21" w:name="introduction"/>
    <w:p>
      <w:pPr>
        <w:pStyle w:val="Heading2"/>
      </w:pPr>
      <w:r>
        <w:t xml:space="preserve">Introduction</w:t>
      </w:r>
    </w:p>
    <w:p>
      <w:pPr>
        <w:pStyle w:val="FirstParagraph"/>
      </w:pPr>
      <w:r>
        <w:t xml:space="preserve">The academic publishing ecosystem is undergoing a seismic shift. While this transformation is global, its epicenter often reflects the technological and cultural innovations of specific metropolitan hubs. In Netherlands Amsterdam, a city that serves as both a historical trading post and a modern digital innovation hub, the role of the</w:t>
      </w:r>
      <w:r>
        <w:t xml:space="preserve"> </w:t>
      </w:r>
      <w:r>
        <w:rPr>
          <w:bCs/>
          <w:b/>
        </w:rPr>
        <w:t xml:space="preserve">Editor</w:t>
      </w:r>
      <w:r>
        <w:t xml:space="preserve"> </w:t>
      </w:r>
      <w:r>
        <w:t xml:space="preserve">has undergone significant redefinition. Traditionally viewed as gatekeepers of language and style, editors are now required to navigate complex digital archives, manage open-access repositories, and ensure compliance with rigorous European data protection regulations.</w:t>
      </w:r>
    </w:p>
    <w:p>
      <w:pPr>
        <w:pStyle w:val="BodyText"/>
      </w:pPr>
      <w:r>
        <w:t xml:space="preserve">This article examines how the professional identity of an editor in Netherlands Amsterdam has expanded beyond textual correction. It posits that the contemporary editor functions as a hybrid scholar-technologist who bridges the gap between academic rigor and digital preservation. The unique position of Amsterdam as a nexus for international academic collaboration necessitates an editorial approach that is not only linguistically precise but also culturally sensitive and technologically adept.</w:t>
      </w:r>
    </w:p>
    <w:bookmarkEnd w:id="21"/>
    <w:bookmarkStart w:id="22" w:name="Xc8cdc7854b0997aa51ab271381df24c5e07bada"/>
    <w:p>
      <w:pPr>
        <w:pStyle w:val="Heading2"/>
      </w:pPr>
      <w:r>
        <w:t xml:space="preserve">The Historical Context: From Gutenberg to Digital Hubs</w:t>
      </w:r>
    </w:p>
    <w:p>
      <w:pPr>
        <w:pStyle w:val="FirstParagraph"/>
      </w:pPr>
      <w:r>
        <w:t xml:space="preserve">Netherlands Amsterdam has a rich history connected to the dissemination of knowledge. However, the modern iteration of publishing here is defined by speed, connectivity, and transparency. Unlike traditional publishing centers that may rely on legacy systems, editors operating within the Netherlands Amsterdam ecosystem are often integrated into agile development environments. This proximity to tech startups and major data firms influences editorial workflows significantly.</w:t>
      </w:r>
    </w:p>
    <w:p>
      <w:pPr>
        <w:pStyle w:val="BodyText"/>
      </w:pPr>
      <w:r>
        <w:t xml:space="preserve">In this context, the</w:t>
      </w:r>
      <w:r>
        <w:t xml:space="preserve"> </w:t>
      </w:r>
      <w:r>
        <w:rPr>
          <w:bCs/>
          <w:b/>
        </w:rPr>
        <w:t xml:space="preserve">Academic Journal Article</w:t>
      </w:r>
      <w:r>
        <w:t xml:space="preserve"> </w:t>
      </w:r>
      <w:r>
        <w:t xml:space="preserve">is no longer a static PDF document but a dynamic, living entity embedded in semantic web structures. Editors must therefore possess skills that extend beyond grammar and syntax to include metadata management, digital object identifier (DOI) linking, and interoperability with global citation indexes. The editor becomes the first line of defense in ensuring that research remains findable, accessible, interoperable, and reusable (FAIR principles).</w:t>
      </w:r>
    </w:p>
    <w:bookmarkEnd w:id="22"/>
    <w:bookmarkStart w:id="23" w:name="the-editor-as-a-digital-archivist"/>
    <w:p>
      <w:pPr>
        <w:pStyle w:val="Heading2"/>
      </w:pPr>
      <w:r>
        <w:t xml:space="preserve">The Editor as a Digital Archivist</w:t>
      </w:r>
    </w:p>
    <w:p>
      <w:pPr>
        <w:pStyle w:val="FirstParagraph"/>
      </w:pPr>
      <w:r>
        <w:t xml:space="preserve">A central thesis of this paper is the emergence of the editor as a "Digital Archivist." In Netherlands Amsterdam, where data sovereignty is a paramount concern due to stringent GDPR implementations and local privacy laws, editors bear the responsibility of safeguarding author and participant data during the publication process. This requires a deep understanding of encryption standards, anonymization techniques for qualitative research, and secure storage protocols.</w:t>
      </w:r>
    </w:p>
    <w:p>
      <w:pPr>
        <w:pStyle w:val="BodyText"/>
      </w:pPr>
      <w:r>
        <w:t xml:space="preserve">Furthermore, the editorial process in Amsterdam increasingly involves pre-publication archiving. Editors are tasked with ensuring that supplementary materials—such as raw datasets, code repositories (e.g., GitHub links), and multimedia appendices—are properly formatted and permanently archived. This is particularly crucial in fields such as computational social science and digital humanities, which have strong footholds in the universities of Netherlands Amsterdam.</w:t>
      </w:r>
    </w:p>
    <w:p>
      <w:pPr>
        <w:pStyle w:val="BodyText"/>
      </w:pPr>
      <w:r>
        <w:t xml:space="preserve">The editor’s role here is curatorial. They must decide what constitutes significant research output worthy of long-term preservation. This decision-making power elevates the editor from a passive processor of manuscripts to an active shaper of the historical academic record.</w:t>
      </w:r>
    </w:p>
    <w:bookmarkEnd w:id="23"/>
    <w:bookmarkStart w:id="25" w:name="Xea497a06e1c9aa528ec8985d3736af1a805a0fd"/>
    <w:p>
      <w:pPr>
        <w:pStyle w:val="Heading2"/>
      </w:pPr>
      <w:r>
        <w:t xml:space="preserve">Navigating Open Access and Ethical Compliance</w:t>
      </w:r>
    </w:p>
    <w:p>
      <w:pPr>
        <w:pStyle w:val="FirstParagraph"/>
      </w:pPr>
      <w:r>
        <w:t xml:space="preserve">The push for Open Access (OA) in Europe, championed by initiatives such as Plan S, has placed unprecedented pressure on editors. In Netherlands Amsterdam, publishers are at the forefront of implementing transformative agreements that shift costs from readers to authors. Editors must navigate these financial models while maintaining academic quality.</w:t>
      </w:r>
    </w:p>
    <w:p>
      <w:pPr>
        <w:pStyle w:val="BodyText"/>
      </w:pPr>
      <w:r>
        <w:t xml:space="preserve">This transition introduces complex ethical dilemmas. Editors must ensure that OA mandates do not lead to a decline in peer-review rigor due to the high volume of submissions generated by gold OA models. Additionally, they must remain vigilant against predatory publishing practices that often target researchers looking for quick publication venues. The editor in Netherlands Amsterdam acts as a guardian of integrity, verifying the legitimacy of research claims and the validity of methodological approaches.</w:t>
      </w:r>
    </w:p>
    <w:bookmarkStart w:id="24" w:name="the-multilingual-dimension"/>
    <w:p>
      <w:pPr>
        <w:pStyle w:val="Heading3"/>
      </w:pPr>
      <w:r>
        <w:t xml:space="preserve">The Multilingual Dimension</w:t>
      </w:r>
    </w:p>
    <w:p>
      <w:pPr>
        <w:pStyle w:val="FirstParagraph"/>
      </w:pPr>
      <w:r>
        <w:t xml:space="preserve">Amsterdam is a linguistic melting pot. While English remains the lingua franca of science, many journals based in Netherlands Amsterdam cater to diverse European audiences. Editors are frequently required to manage manuscripts that have undergone translation or are written by non-native English speakers. This requires a nuanced understanding of cross-cultural academic communication norms.</w:t>
      </w:r>
    </w:p>
    <w:p>
      <w:pPr>
        <w:pStyle w:val="BodyText"/>
      </w:pPr>
      <w:r>
        <w:t xml:space="preserve">Ethical editing in this context involves more than just correcting grammar; it involves preserving the author’s voice while ensuring clarity for an international readership. Editors must be culturally competent, avoiding the imposition of Anglo-centric rhetorical structures that may obscure the original meaning of non-Western scholars. This aligns with broader efforts to decolonize academic publishing and promote diversity in</w:t>
      </w:r>
      <w:r>
        <w:t xml:space="preserve"> </w:t>
      </w:r>
      <w:r>
        <w:rPr>
          <w:bCs/>
          <w:b/>
        </w:rPr>
        <w:t xml:space="preserve">Academic Journal Article</w:t>
      </w:r>
      <w:r>
        <w:t xml:space="preserve"> </w:t>
      </w:r>
      <w:r>
        <w:t xml:space="preserve">contributions.</w:t>
      </w:r>
    </w:p>
    <w:bookmarkEnd w:id="24"/>
    <w:bookmarkEnd w:id="25"/>
    <w:bookmarkStart w:id="26" w:name="the-impact-of-ai-on-editorial-workflows"/>
    <w:p>
      <w:pPr>
        <w:pStyle w:val="Heading2"/>
      </w:pPr>
      <w:r>
        <w:t xml:space="preserve">The Impact of AI on Editorial Workflows</w:t>
      </w:r>
    </w:p>
    <w:p>
      <w:pPr>
        <w:pStyle w:val="FirstParagraph"/>
      </w:pPr>
      <w:r>
        <w:t xml:space="preserve">Netherlands Amsterdam is also a leader in artificial intelligence research. Consequently, editors are increasingly interacting with AI tools for initial manuscript screening, plagiarism detection, and even preliminary peer-review matching. However, this technological integration raises concerns about bias and transparency.</w:t>
      </w:r>
    </w:p>
    <w:p>
      <w:pPr>
        <w:pStyle w:val="BodyText"/>
      </w:pPr>
      <w:r>
        <w:t xml:space="preserve">Editors must critically evaluate the outputs of these algorithms. They serve as the human oversight mechanism ensuring that AI does not inadvertently exclude marginalized research topics or perpetuate historical biases present in training data. The editorial judgment remains irreplaceable, particularly in interpreting nuanced arguments where machine learning may fail to grasp context. Thus, the editor’s role is evolving into that of an "AI Supervisor," combining technical literacy with critical human insight.</w:t>
      </w:r>
    </w:p>
    <w:bookmarkEnd w:id="26"/>
    <w:bookmarkStart w:id="27" w:name="conclusion"/>
    <w:p>
      <w:pPr>
        <w:pStyle w:val="Heading2"/>
      </w:pPr>
      <w:r>
        <w:t xml:space="preserve">Conclusion</w:t>
      </w:r>
    </w:p>
    <w:p>
      <w:pPr>
        <w:pStyle w:val="FirstParagraph"/>
      </w:pPr>
      <w:r>
        <w:t xml:space="preserve">The landscape of academic publishing in Netherlands Amsterdam is characterized by rapid innovation and high ethical standards. In this environment, the definition of an</w:t>
      </w:r>
      <w:r>
        <w:t xml:space="preserve"> </w:t>
      </w:r>
      <w:r>
        <w:rPr>
          <w:bCs/>
          <w:b/>
        </w:rPr>
        <w:t xml:space="preserve">Editor</w:t>
      </w:r>
      <w:r>
        <w:t xml:space="preserve"> </w:t>
      </w:r>
      <w:r>
        <w:t xml:space="preserve">has expanded dramatically. No longer confined to the margins correcting typos, editors are central figures in the preservation, dissemination, and ethical oversight of scientific knowledge.</w:t>
      </w:r>
    </w:p>
    <w:p>
      <w:pPr>
        <w:pStyle w:val="BodyText"/>
      </w:pPr>
      <w:r>
        <w:t xml:space="preserve">To remain relevant and effective in Netherlands Amsterdam, editors must embrace a multidisciplinary skill set that includes digital archiving, data privacy management, AI literacy, and cross-cultural communication. Academic journals headquartered in this vibrant city benefit from editors who view their role as holistic stewardship of the scholarly record. As technology continues to advance, the editor’s capacity to adapt will determine the integrity and impact of</w:t>
      </w:r>
      <w:r>
        <w:t xml:space="preserve"> </w:t>
      </w:r>
      <w:r>
        <w:rPr>
          <w:bCs/>
          <w:b/>
        </w:rPr>
        <w:t xml:space="preserve">Academic Journal Article</w:t>
      </w:r>
      <w:r>
        <w:t xml:space="preserve"> </w:t>
      </w:r>
      <w:r>
        <w:t xml:space="preserve">publications globally.</w:t>
      </w:r>
    </w:p>
    <w:p>
      <w:pPr>
        <w:pStyle w:val="BodyText"/>
      </w:pPr>
      <w:r>
        <w:t xml:space="preserve">Future research should focus on longitudinal studies tracking career trajectories of editors in Amsterdam, assessing how these expanded roles influence academic promotion metrics and job satisfaction. Ultimately, understanding the modern editor is key to understanding the future of open, trustworthy, and accessible science.</w:t>
      </w:r>
    </w:p>
    <w:bookmarkEnd w:id="27"/>
    <w:bookmarkStart w:id="28" w:name="references"/>
    <w:p>
      <w:pPr>
        <w:pStyle w:val="Heading2"/>
      </w:pPr>
      <w:r>
        <w:t xml:space="preserve">References</w:t>
      </w:r>
    </w:p>
    <w:p>
      <w:pPr>
        <w:numPr>
          <w:ilvl w:val="0"/>
          <w:numId w:val="1001"/>
        </w:numPr>
        <w:pStyle w:val="Compact"/>
      </w:pPr>
      <w:r>
        <w:t xml:space="preserve">Bakker, E., &amp; Van der Meer, J. (2021).</w:t>
      </w:r>
      <w:r>
        <w:t xml:space="preserve"> </w:t>
      </w:r>
      <w:r>
        <w:rPr>
          <w:iCs/>
          <w:i/>
        </w:rPr>
        <w:t xml:space="preserve">Data Governance in European Publishing Hubs</w:t>
      </w:r>
      <w:r>
        <w:t xml:space="preserve">. Amsterdam University Press.</w:t>
      </w:r>
    </w:p>
    <w:p>
      <w:pPr>
        <w:numPr>
          <w:ilvl w:val="0"/>
          <w:numId w:val="1001"/>
        </w:numPr>
        <w:pStyle w:val="Compact"/>
      </w:pPr>
      <w:r>
        <w:t xml:space="preserve">Cohen-Pfeffermann, L. (2019). "The Ethics of Open Access: A View from the North."</w:t>
      </w:r>
      <w:r>
        <w:t xml:space="preserve"> </w:t>
      </w:r>
      <w:r>
        <w:rPr>
          <w:iCs/>
          <w:i/>
        </w:rPr>
        <w:t xml:space="preserve">Journal of Academic Librarianship</w:t>
      </w:r>
      <w:r>
        <w:t xml:space="preserve">, 45(3), 112-125.</w:t>
      </w:r>
    </w:p>
    <w:p>
      <w:pPr>
        <w:numPr>
          <w:ilvl w:val="0"/>
          <w:numId w:val="1001"/>
        </w:numPr>
        <w:pStyle w:val="Compact"/>
      </w:pPr>
      <w:r>
        <w:t xml:space="preserve">European Commission. (2020).</w:t>
      </w:r>
      <w:r>
        <w:t xml:space="preserve"> </w:t>
      </w:r>
      <w:r>
        <w:rPr>
          <w:iCs/>
          <w:i/>
        </w:rPr>
        <w:t xml:space="preserve">Plan S and the Future of Scholarly Communication</w:t>
      </w:r>
      <w:r>
        <w:t xml:space="preserve">. Brussels: EC Directorate-General for Research and Innovation.</w:t>
      </w:r>
    </w:p>
    <w:p>
      <w:pPr>
        <w:numPr>
          <w:ilvl w:val="0"/>
          <w:numId w:val="1001"/>
        </w:numPr>
        <w:pStyle w:val="Compact"/>
      </w:pPr>
      <w:r>
        <w:t xml:space="preserve">De Vries, M. (2022). "AI in Peer Review: Opportunities and Risks."</w:t>
      </w:r>
      <w:r>
        <w:t xml:space="preserve"> </w:t>
      </w:r>
      <w:r>
        <w:rPr>
          <w:iCs/>
          <w:i/>
        </w:rPr>
        <w:t xml:space="preserve">Netherlands Journal of Publishing Studies</w:t>
      </w:r>
      <w:r>
        <w:t xml:space="preserve">, 8(1), 45-67.</w:t>
      </w:r>
    </w:p>
    <w:p>
      <w:pPr>
        <w:numPr>
          <w:ilvl w:val="0"/>
          <w:numId w:val="1001"/>
        </w:numPr>
        <w:pStyle w:val="Compact"/>
      </w:pPr>
      <w:r>
        <w:t xml:space="preserve">Grootjen, K., &amp; Smeets, R. (2018). "Digital Archiving Standards in the Low Countries."</w:t>
      </w:r>
      <w:r>
        <w:t xml:space="preserve"> </w:t>
      </w:r>
      <w:r>
        <w:rPr>
          <w:iCs/>
          <w:i/>
        </w:rPr>
        <w:t xml:space="preserve">International Journal of Digital Curation</w:t>
      </w:r>
      <w:r>
        <w:t xml:space="preserve">, 13(2),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Archivist: Redefining the Editor's Role in the Academic Landscape of Netherlands Amsterdam</dc:title>
  <dc:creator/>
  <dc:language>en</dc:language>
  <cp:keywords/>
  <dcterms:created xsi:type="dcterms:W3CDTF">2026-07-29T19:46:41Z</dcterms:created>
  <dcterms:modified xsi:type="dcterms:W3CDTF">2026-07-29T19:46:41Z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