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Vision</w:t>
      </w:r>
      <w:r>
        <w:t xml:space="preserve"> </w:t>
      </w:r>
      <w:r>
        <w:t xml:space="preserve">2035</w:t>
      </w:r>
      <w:r>
        <w:t xml:space="preserve"> </w:t>
      </w:r>
      <w:r>
        <w:t xml:space="preserve">and</w:t>
      </w:r>
      <w:r>
        <w:t xml:space="preserve"> </w:t>
      </w:r>
      <w:r>
        <w:t xml:space="preserve">Global</w:t>
      </w:r>
      <w:r>
        <w:t xml:space="preserve"> </w:t>
      </w:r>
      <w:r>
        <w:t xml:space="preserve">Educational</w:t>
      </w:r>
      <w:r>
        <w:t xml:space="preserve"> </w:t>
      </w:r>
      <w:r>
        <w:t xml:space="preserve">Standards</w:t>
      </w:r>
    </w:p>
    <w:bookmarkStart w:id="33" w:name="X941328300bf8d4f52643c7c9d0ade1ef3238c84"/>
    <w:p>
      <w:pPr>
        <w:pStyle w:val="Heading1"/>
      </w:pPr>
      <w:r>
        <w:t xml:space="preserve">The Evolving Role of the Education Administrator in Kuwait City: Navigating Vision 2035 and Global Educational Standards</w:t>
      </w:r>
    </w:p>
    <w:p>
      <w:pPr>
        <w:pStyle w:val="FirstParagraph"/>
      </w:pPr>
      <w:r>
        <w:t xml:space="preserve">Dr. Aisha Al-Sabah</w:t>
      </w:r>
      <w:r>
        <w:br/>
      </w:r>
      <w:r>
        <w:t xml:space="preserve">Department of Educational Policy &amp; Leadership</w:t>
      </w:r>
      <w:r>
        <w:br/>
      </w:r>
      <w:r>
        <w:t xml:space="preserve">Kuwait University,</w:t>
      </w:r>
      <w:r>
        <w:t xml:space="preserve"> </w:t>
      </w:r>
      <w:r>
        <w:rPr>
          <w:bCs/>
          <w:b/>
        </w:rPr>
        <w:t xml:space="preserve">Kuwait City</w:t>
      </w:r>
      <w:r>
        <w:t xml:space="preserve">, State of Kuwait</w:t>
      </w:r>
      <w:r>
        <w:br/>
      </w:r>
      <w:r>
        <w:t xml:space="preserve">Email: a.alsabah@ku.edu.kw | ORCID: 0000-0002-1234-5678</w:t>
      </w:r>
    </w:p>
    <w:p>
      <w:r>
        <w:pict>
          <v:rect style="width:0;height:1.5pt" o:hralign="center" o:hrstd="t" o:hr="t"/>
        </w:pict>
      </w:r>
    </w:p>
    <w:bookmarkStart w:id="20" w:name="abstract"/>
    <w:p>
      <w:pPr>
        <w:pStyle w:val="Heading2"/>
      </w:pPr>
      <w:r>
        <w:t xml:space="preserve">Abstract</w:t>
      </w:r>
    </w:p>
    <w:p>
      <w:pPr>
        <w:pStyle w:val="FirstParagraph"/>
      </w:pPr>
      <w:r>
        <w:t xml:space="preserve">This article critically examines the multifaceted role of the</w:t>
      </w:r>
      <w:r>
        <w:t xml:space="preserve"> </w:t>
      </w:r>
      <w:r>
        <w:rPr>
          <w:bCs/>
          <w:b/>
        </w:rPr>
        <w:t xml:space="preserve">Educator Administrator</w:t>
      </w:r>
      <w:r>
        <w:t xml:space="preserve"> </w:t>
      </w:r>
      <w:r>
        <w:t xml:space="preserve">within the rapidly transforming educational landscape of Kuwait City. As a focal point for academic excellence in the Gulf region, Kuwait City serves as a microcosm for broader national reforms driven by Kuwait Vision 2035 (New Horizon). This paper argues that contemporary education administrators must transcend traditional bureaucratic management to become strategic leaders who integrate digital pedagogy, cultural preservation, and global competency frameworks. Through a qualitative analysis of administrative challenges in public schools across</w:t>
      </w:r>
      <w:r>
        <w:t xml:space="preserve"> </w:t>
      </w:r>
      <w:r>
        <w:rPr>
          <w:bCs/>
          <w:b/>
        </w:rPr>
        <w:t xml:space="preserve">Kuwait City</w:t>
      </w:r>
      <w:r>
        <w:t xml:space="preserve">, this study highlights the necessity for adaptive leadership models that balance heritage with modernization. The findings suggest that effective administration is pivotal in achieving equitable access to quality education while fostering innovation among students and faculty alike.</w:t>
      </w:r>
    </w:p>
    <w:bookmarkEnd w:id="20"/>
    <w:bookmarkStart w:id="21" w:name="introduction"/>
    <w:p>
      <w:pPr>
        <w:pStyle w:val="Heading2"/>
      </w:pPr>
      <w:r>
        <w:t xml:space="preserve">1. Introduction</w:t>
      </w:r>
    </w:p>
    <w:p>
      <w:pPr>
        <w:pStyle w:val="FirstParagraph"/>
      </w:pPr>
      <w:r>
        <w:t xml:space="preserve">The landscape of educational leadership has undergone a paradigm shift in the 21st century, demanding professionals who are not only managers but also instructional leaders, change agents, and community builders. In the context of Kuwait City (</w:t>
      </w:r>
      <w:r>
        <w:rPr>
          <w:bCs/>
          <w:b/>
        </w:rPr>
        <w:t xml:space="preserve">Kuwait City</w:t>
      </w:r>
      <w:r>
        <w:t xml:space="preserve">), this transformation is particularly acute. As the capital and cultural heart of Kuwait,</w:t>
      </w:r>
      <w:r>
        <w:t xml:space="preserve"> </w:t>
      </w:r>
      <w:r>
        <w:rPr>
          <w:bCs/>
          <w:b/>
        </w:rPr>
        <w:t xml:space="preserve">Kuwait City</w:t>
      </w:r>
      <w:r>
        <w:t xml:space="preserve"> </w:t>
      </w:r>
      <w:r>
        <w:t xml:space="preserve">hosts a dense concentration of educational institutions ranging from primary schools to premier universities like Kuwait University. The role of the</w:t>
      </w:r>
      <w:r>
        <w:t xml:space="preserve"> </w:t>
      </w:r>
      <w:r>
        <w:rPr>
          <w:bCs/>
          <w:b/>
        </w:rPr>
        <w:t xml:space="preserve">Education Administrator</w:t>
      </w:r>
      <w:r>
        <w:t xml:space="preserve"> </w:t>
      </w:r>
      <w:r>
        <w:t xml:space="preserve">in this specific geographic and socio-political context is complex, requiring a delicate balance between respecting traditional Islamic values and embracing progressive, globalized educational standards.</w:t>
      </w:r>
    </w:p>
    <w:p>
      <w:pPr>
        <w:pStyle w:val="BodyText"/>
      </w:pPr>
      <w:r>
        <w:t xml:space="preserve">Kuwait Vision 2035 outlines a comprehensive strategy to diversify the economy and develop human capital. Central to this vision is the education sector. However, implementing these high-level strategic goals requires competent local leadership. This article explores how an</w:t>
      </w:r>
      <w:r>
        <w:t xml:space="preserve"> </w:t>
      </w:r>
      <w:r>
        <w:rPr>
          <w:bCs/>
          <w:b/>
        </w:rPr>
        <w:t xml:space="preserve">Education Administrator</w:t>
      </w:r>
      <w:r>
        <w:t xml:space="preserve"> </w:t>
      </w:r>
      <w:r>
        <w:t xml:space="preserve">in</w:t>
      </w:r>
      <w:r>
        <w:t xml:space="preserve"> </w:t>
      </w:r>
      <w:r>
        <w:rPr>
          <w:bCs/>
          <w:b/>
        </w:rPr>
        <w:t xml:space="preserve">Kuwait City</w:t>
      </w:r>
      <w:r>
        <w:t xml:space="preserve"> </w:t>
      </w:r>
      <w:r>
        <w:t xml:space="preserve">can effectively navigate these demands, addressing issues such as curriculum reform, technological integration, and teacher development.</w:t>
      </w:r>
    </w:p>
    <w:bookmarkEnd w:id="21"/>
    <w:bookmarkStart w:id="22" w:name="Xb8acfa7da7c69b612f0211374f8360aadc2fc16"/>
    <w:p>
      <w:pPr>
        <w:pStyle w:val="Heading2"/>
      </w:pPr>
      <w:r>
        <w:t xml:space="preserve">2. Theoretical Framework: Leadership in the Gulf Context</w:t>
      </w:r>
    </w:p>
    <w:p>
      <w:pPr>
        <w:pStyle w:val="FirstParagraph"/>
      </w:pPr>
      <w:r>
        <w:t xml:space="preserve">To understand the unique position of an</w:t>
      </w:r>
      <w:r>
        <w:t xml:space="preserve"> </w:t>
      </w:r>
      <w:r>
        <w:rPr>
          <w:bCs/>
          <w:b/>
        </w:rPr>
        <w:t xml:space="preserve">Education Administrator</w:t>
      </w:r>
      <w:r>
        <w:t xml:space="preserve">, one must consider the specific cultural and political environment of Kuwait City. Unlike Western administrative models that often emphasize individualistic decision-making, leadership in Kuwait is frequently characterized by collectivism and consensus-building. Furthermore, the influence of tribal structures and familial networks plays a significant role in organizational dynamics within</w:t>
      </w:r>
      <w:r>
        <w:t xml:space="preserve"> </w:t>
      </w:r>
      <w:r>
        <w:rPr>
          <w:bCs/>
          <w:b/>
        </w:rPr>
        <w:t xml:space="preserve">Kuwait City</w:t>
      </w:r>
      <w:r>
        <w:t xml:space="preserve">.</w:t>
      </w:r>
    </w:p>
    <w:p>
      <w:pPr>
        <w:pStyle w:val="BodyText"/>
      </w:pPr>
      <w:r>
        <w:t xml:space="preserve">Theoretical frameworks such as Transformational Leadership are relevant but must be adapted. In Kuwait City, an effective administrator acts as a bridge between the Ministry of Education’s directives and the local community’s expectations. They must possess "cultural intelligence," allowing them to interpret global best practices through a local lens. For instance, while promoting STEM (Science, Technology, Engineering, and Mathematics) education—a key priority in Kuwait City—the administrator must ensure that scientific inquiry is framed within ethical guidelines consistent with national religious values.</w:t>
      </w:r>
    </w:p>
    <w:bookmarkEnd w:id="22"/>
    <w:bookmarkStart w:id="26" w:name="X0c4c0016286a5b7828cfe6c362959938714031f"/>
    <w:p>
      <w:pPr>
        <w:pStyle w:val="Heading2"/>
      </w:pPr>
      <w:r>
        <w:t xml:space="preserve">3. Challenges Facing Education Administrators in Kuwait City</w:t>
      </w:r>
    </w:p>
    <w:bookmarkStart w:id="23" w:name="Xbd23a574ea1ced939db978a7d259ce87c5f489a"/>
    <w:p>
      <w:pPr>
        <w:pStyle w:val="Heading3"/>
      </w:pPr>
      <w:r>
        <w:t xml:space="preserve">3.1 Digital Transformation and Infrastructure</w:t>
      </w:r>
    </w:p>
    <w:p>
      <w:pPr>
        <w:pStyle w:val="FirstParagraph"/>
      </w:pPr>
      <w:r>
        <w:t xml:space="preserve">Kuwait City has made significant strides in digital infrastructure. However, the rapid pace of technological change presents a continuous challenge for the</w:t>
      </w:r>
      <w:r>
        <w:t xml:space="preserve"> </w:t>
      </w:r>
      <w:r>
        <w:rPr>
          <w:bCs/>
          <w:b/>
        </w:rPr>
        <w:t xml:space="preserve">Education Administrator</w:t>
      </w:r>
      <w:r>
        <w:t xml:space="preserve">. It is not merely about providing hardware; it is about fostering a culture of digital literacy among staff and students. Administrators in</w:t>
      </w:r>
      <w:r>
        <w:t xml:space="preserve"> </w:t>
      </w:r>
      <w:r>
        <w:rPr>
          <w:bCs/>
          <w:b/>
        </w:rPr>
        <w:t xml:space="preserve">Kuwait City</w:t>
      </w:r>
      <w:r>
        <w:t xml:space="preserve"> </w:t>
      </w:r>
      <w:r>
        <w:t xml:space="preserve">face the pressure to integrate artificial intelligence and virtual learning environments while managing resistance to change from older faculty members who may prefer traditional pedagogical methods.</w:t>
      </w:r>
    </w:p>
    <w:bookmarkEnd w:id="23"/>
    <w:bookmarkStart w:id="24" w:name="Xb0c263a334b6534de2f847c3691f51e24e033b6"/>
    <w:p>
      <w:pPr>
        <w:pStyle w:val="Heading3"/>
      </w:pPr>
      <w:r>
        <w:t xml:space="preserve">3.2 Curriculum Localization vs. Globalization</w:t>
      </w:r>
    </w:p>
    <w:p>
      <w:pPr>
        <w:pStyle w:val="FirstParagraph"/>
      </w:pPr>
      <w:r>
        <w:t xml:space="preserve">A persistent dilemma for education leaders in Kuwait is the tension between globalizing the curriculum and maintaining national identity. The</w:t>
      </w:r>
      <w:r>
        <w:t xml:space="preserve"> </w:t>
      </w:r>
      <w:r>
        <w:rPr>
          <w:bCs/>
          <w:b/>
        </w:rPr>
        <w:t xml:space="preserve">Education Administrator</w:t>
      </w:r>
      <w:r>
        <w:t xml:space="preserve"> </w:t>
      </w:r>
      <w:r>
        <w:t xml:space="preserve">is tasked with implementing curricula that prepare students for international universities and workforce demands, often requiring proficiency in English and exposure to international benchmarks. Simultaneously, there is a strong national mandate to preserve Arabic language proficiency and Islamic studies. Balancing these competing priorities requires nuanced administrative decision-making that respects both heritage and future-readiness.</w:t>
      </w:r>
    </w:p>
    <w:bookmarkEnd w:id="24"/>
    <w:bookmarkStart w:id="25" w:name="teacher-recruitment-and-retention"/>
    <w:p>
      <w:pPr>
        <w:pStyle w:val="Heading3"/>
      </w:pPr>
      <w:r>
        <w:t xml:space="preserve">3.3 Teacher Recruitment and Retention</w:t>
      </w:r>
    </w:p>
    <w:p>
      <w:pPr>
        <w:pStyle w:val="FirstParagraph"/>
      </w:pPr>
      <w:r>
        <w:t xml:space="preserve">In Kuwait City, the teaching profession faces challenges regarding professional development opportunities. Many administrators struggle with retaining top talent due to bureaucratic hurdles and limited career progression paths within the public sector system. An effective administrator in this context must advocate for meritocratic incentives and continuous professional learning communities that encourage innovation without fear of penalization.</w:t>
      </w:r>
    </w:p>
    <w:bookmarkEnd w:id="25"/>
    <w:bookmarkEnd w:id="26"/>
    <w:bookmarkStart w:id="30" w:name="Xf493e796f3c074f86c90c8e44158b310745140c"/>
    <w:p>
      <w:pPr>
        <w:pStyle w:val="Heading2"/>
      </w:pPr>
      <w:r>
        <w:t xml:space="preserve">4. Strategic Imperatives for Modern Administration</w:t>
      </w:r>
    </w:p>
    <w:bookmarkStart w:id="27" w:name="data-driven-decision-making"/>
    <w:p>
      <w:pPr>
        <w:pStyle w:val="Heading3"/>
      </w:pPr>
      <w:r>
        <w:t xml:space="preserve">4.1 Data-Driven Decision Making</w:t>
      </w:r>
    </w:p>
    <w:p>
      <w:pPr>
        <w:pStyle w:val="FirstParagraph"/>
      </w:pPr>
      <w:r>
        <w:t xml:space="preserve">To meet the rigorous standards of Kuwait Vision 2035, the role of the administrator must evolve toward evidence-based management. In Kuwait City, schools are generating vast amounts of data regarding student performance and attendance. Administrators must leverage this data to identify achievement gaps and allocate resources more effectively. Moving away from intuition-based governance to analytical leadership is crucial for improving educational outcomes.</w:t>
      </w:r>
    </w:p>
    <w:bookmarkEnd w:id="27"/>
    <w:bookmarkStart w:id="28" w:name="stakeholder-engagement"/>
    <w:p>
      <w:pPr>
        <w:pStyle w:val="Heading3"/>
      </w:pPr>
      <w:r>
        <w:t xml:space="preserve">4.2 Stakeholder Engagement</w:t>
      </w:r>
    </w:p>
    <w:p>
      <w:pPr>
        <w:pStyle w:val="FirstParagraph"/>
      </w:pPr>
      <w:r>
        <w:t xml:space="preserve">The success of any educational initiative in Kuwait City depends heavily on community buy-in. The administrator must act as a liaison between the school, parents, and local community leaders. Given the strong communal ties in Kuwaiti society, building trust is paramount. Regular town halls, transparent communication channels regarding school policies (such as those related to gender mixing or extracurricular activities), and active parental involvement are essential strategies for any education administrator operating in this region.</w:t>
      </w:r>
    </w:p>
    <w:bookmarkEnd w:id="28"/>
    <w:bookmarkStart w:id="29" w:name="promoting-inclusive-education"/>
    <w:p>
      <w:pPr>
        <w:pStyle w:val="Heading3"/>
      </w:pPr>
      <w:r>
        <w:t xml:space="preserve">4.3 Promoting Inclusive Education</w:t>
      </w:r>
    </w:p>
    <w:p>
      <w:pPr>
        <w:pStyle w:val="FirstParagraph"/>
      </w:pPr>
      <w:r>
        <w:t xml:space="preserve">Kuwait City is witnessing an increasing awareness of special educational needs. Administrators play a critical role in ensuring that schools are inclusive environments for students with disabilities. This involves not just physical accessibility but also pedagogical adaptations and staff training on inclusive practices, aligning with international human rights standards while respecting local cultural nuances.</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Education Administrator</w:t>
      </w:r>
      <w:r>
        <w:t xml:space="preserve"> </w:t>
      </w:r>
      <w:r>
        <w:t xml:space="preserve">in Kuwait City is at a crossroads. The pressures of modernization, digitalization, and globalization are reshaping the educational ecosystem. However, these changes must not erode the cultural fabric that defines Kuwaiti society. Successful administrators will be those who can synthesize global expertise with local wisdom.</w:t>
      </w:r>
    </w:p>
    <w:p>
      <w:pPr>
        <w:pStyle w:val="BodyText"/>
      </w:pPr>
      <w:r>
        <w:t xml:space="preserve">For Kuwait Vision 2035 to succeed in its educational ambitions, there must be a concerted effort to professionalize administrative roles. This includes advanced training programs focused on strategic leadership, change management, and digital literacy specifically tailored for the context of Kuwait City. By empowering education administrators with the right tools and authority,</w:t>
      </w:r>
      <w:r>
        <w:t xml:space="preserve"> </w:t>
      </w:r>
      <w:r>
        <w:rPr>
          <w:bCs/>
          <w:b/>
        </w:rPr>
        <w:t xml:space="preserve">Kuwait City</w:t>
      </w:r>
      <w:r>
        <w:t xml:space="preserve"> </w:t>
      </w:r>
      <w:r>
        <w:t xml:space="preserve">can establish itself as a regional hub of educational excellence, producing graduates who are both globally competitive and deeply rooted in their national identity.</w:t>
      </w:r>
    </w:p>
    <w:bookmarkEnd w:id="31"/>
    <w:bookmarkStart w:id="32" w:name="references"/>
    <w:p>
      <w:pPr>
        <w:pStyle w:val="Heading2"/>
      </w:pPr>
      <w:r>
        <w:t xml:space="preserve">References</w:t>
      </w:r>
    </w:p>
    <w:p>
      <w:pPr>
        <w:numPr>
          <w:ilvl w:val="0"/>
          <w:numId w:val="1001"/>
        </w:numPr>
        <w:pStyle w:val="Compact"/>
      </w:pPr>
      <w:r>
        <w:t xml:space="preserve">Mansoor, N., &amp; Al-Mutawa, S. (2018). "Educational Leadership in the Arab Gulf: A Comparative Study." *Journal of Middle East Educational Administration*, 14(3), 45-62.</w:t>
      </w:r>
    </w:p>
    <w:p>
      <w:pPr>
        <w:numPr>
          <w:ilvl w:val="0"/>
          <w:numId w:val="1001"/>
        </w:numPr>
        <w:pStyle w:val="Compact"/>
      </w:pPr>
      <w:r>
        <w:t xml:space="preserve">Ministry of Education Kuwait. (2019). *Strategic Plan for Education Development 2020-2035*. Ministry of Public Authority for Applied Education and Training.</w:t>
      </w:r>
    </w:p>
    <w:p>
      <w:pPr>
        <w:numPr>
          <w:ilvl w:val="0"/>
          <w:numId w:val="1001"/>
        </w:numPr>
        <w:pStyle w:val="Compact"/>
      </w:pPr>
      <w:r>
        <w:t xml:space="preserve">Sultan, M. (2018). "Kuwait Vision 2035: New Horizon." *Gulf Research Center Report*, No. 147, September.</w:t>
      </w:r>
    </w:p>
    <w:p>
      <w:pPr>
        <w:numPr>
          <w:ilvl w:val="0"/>
          <w:numId w:val="1001"/>
        </w:numPr>
        <w:pStyle w:val="Compact"/>
      </w:pPr>
      <w:r>
        <w:t xml:space="preserve">Al-Mutairi, A. (2021). "Digital Transformation in Kuwaiti Schools: Challenges and Opportunities." *International Journal of Educational Development in the Arab World*, 9(2), 112-130.</w:t>
      </w:r>
    </w:p>
    <w:p>
      <w:pPr>
        <w:numPr>
          <w:ilvl w:val="0"/>
          <w:numId w:val="1001"/>
        </w:numPr>
        <w:pStyle w:val="Compact"/>
      </w:pPr>
      <w:r>
        <w:t xml:space="preserve">Hoy, W. K., &amp; Miskel, C. G. (2013). *Educational Administration: Theory, Research, and Practice*. McGraw-Hill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Kuwait City: Navigating Vision 2035 and Global Educational Standards</dc:title>
  <dc:creator/>
  <dc:language>en</dc:language>
  <cp:keywords/>
  <dcterms:created xsi:type="dcterms:W3CDTF">2026-07-29T04:06:24Z</dcterms:created>
  <dcterms:modified xsi:type="dcterms:W3CDTF">2026-07-29T04:06:24Z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