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Myanmar: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Yangon</w:t>
      </w:r>
    </w:p>
    <w:p>
      <w:pPr>
        <w:pStyle w:val="FirstParagraph"/>
      </w:pPr>
      <w:r>
        <w:t xml:space="preserve">```html</w:t>
      </w:r>
    </w:p>
    <w:p>
      <w:pPr>
        <w:pStyle w:val="BodyText"/>
      </w:pPr>
      <w:r>
        <w:rPr>
          <w:bCs/>
          <w:b/>
        </w:rPr>
        <w:t xml:space="preserve">The Evolving Role of the Education Administrator in Myanmar: A Case Study of Yangon</w:t>
      </w:r>
    </w:p>
    <w:p>
      <w:pPr>
        <w:pStyle w:val="BodyText"/>
      </w:pPr>
      <w:r>
        <w:br/>
      </w:r>
    </w:p>
    <w:p>
      <w:pPr>
        <w:pStyle w:val="BodyText"/>
      </w:pPr>
      <w:r>
        <w:rPr>
          <w:iCs/>
          <w:i/>
        </w:rPr>
        <w:t xml:space="preserve">A Journal Article on Contemporary Educational Leadership in Developing Contexts</w:t>
      </w:r>
    </w:p>
    <w:p>
      <w:pPr>
        <w:pStyle w:val="BodyText"/>
      </w:pPr>
      <w:r>
        <w:t xml:space="preserve">Keywords: Education Administrator, Myanmar, Yangon, Public Policy, Educational Leadership.</w:t>
      </w:r>
    </w:p>
    <w:p>
      <w:r>
        <w:pict>
          <v:rect style="width:0;height:1.5pt" o:hralign="center" o:hrstd="t" o:hr="t"/>
        </w:pict>
      </w:r>
    </w:p>
    <w:bookmarkStart w:id="20" w:name="abstract"/>
    <w:p>
      <w:pPr>
        <w:pStyle w:val="Heading2"/>
      </w:pPr>
      <w:r>
        <w:t xml:space="preserve">Abstract</w:t>
      </w:r>
    </w:p>
    <w:p>
      <w:pPr>
        <w:pStyle w:val="FirstParagraph"/>
      </w:pPr>
      <w:r>
        <w:br/>
      </w:r>
    </w:p>
    <w:p>
      <w:pPr>
        <w:pStyle w:val="BodyText"/>
      </w:pPr>
      <w:r>
        <w:t xml:space="preserve">This article examines the critical role of the</w:t>
      </w:r>
      <w:r>
        <w:t xml:space="preserve"> </w:t>
      </w:r>
      <w:r>
        <w:rPr>
          <w:bCs/>
          <w:b/>
        </w:rPr>
        <w:t xml:space="preserve">Educational Administrator</w:t>
      </w:r>
      <w:r>
        <w:t xml:space="preserve"> </w:t>
      </w:r>
      <w:r>
        <w:t xml:space="preserve">(EA) within Myanmar's rapidly changing educational landscape. Specifically focusing on</w:t>
      </w:r>
      <w:r>
        <w:t xml:space="preserve"> </w:t>
      </w:r>
      <w:r>
        <w:rPr>
          <w:bCs/>
          <w:b/>
        </w:rPr>
        <w:t xml:space="preserve">Yangon</w:t>
      </w:r>
      <w:r>
        <w:t xml:space="preserve"> </w:t>
      </w:r>
      <w:r>
        <w:t xml:space="preserve">, a city undergoing significant infrastructural and demographic shifts, this study explores how modern EAs navigate political transitions, resource constraints, and curriculum reforms. Through qualitative analysis of administrative strategies employed in Yangon’s public schools, the article highlights challenges related to decentralization efforts (from central ministries), digital integration amidst limited internet access ,and community engagement. The findings suggest that successful Educational Administrators in</w:t>
      </w:r>
      <w:r>
        <w:t xml:space="preserve"> </w:t>
      </w:r>
      <w:r>
        <w:rPr>
          <w:bCs/>
          <w:b/>
        </w:rPr>
        <w:t xml:space="preserve">Myanmar</w:t>
      </w:r>
      <w:r>
        <w:t xml:space="preserve"> </w:t>
      </w:r>
      <w:r>
        <w:t xml:space="preserve">must act as adaptive leaders capable of bridging policy directives from Naypyidaw with ground-level realities unique to urban centers like Yangon.</w:t>
      </w:r>
    </w:p>
    <w:bookmarkEnd w:id="20"/>
    <w:bookmarkStart w:id="21" w:name="introduction"/>
    <w:p>
      <w:pPr>
        <w:pStyle w:val="Heading2"/>
      </w:pPr>
      <w:r>
        <w:t xml:space="preserve">Introduction</w:t>
      </w:r>
    </w:p>
    <w:p>
      <w:pPr>
        <w:pStyle w:val="FirstParagraph"/>
      </w:pPr>
      <w:r>
        <w:br/>
      </w:r>
    </w:p>
    <w:p>
      <w:pPr>
        <w:pStyle w:val="BodyText"/>
      </w:pPr>
      <w:r>
        <w:t xml:space="preserve">The structure and quality of education are directly proportional to the effectiveness of its leadership. In the context of</w:t>
      </w:r>
      <w:r>
        <w:t xml:space="preserve"> </w:t>
      </w:r>
      <w:r>
        <w:rPr>
          <w:bCs/>
          <w:b/>
        </w:rPr>
        <w:t xml:space="preserve">Myanmar</w:t>
      </w:r>
      <w:r>
        <w:t xml:space="preserve"> </w:t>
      </w:r>
      <w:r>
        <w:t xml:space="preserve">, an emerging nation in Southeast Asia, Education Administrators (EAs) play a pivotal role in determining systemic efficiency. Historically centralized under strict governmental oversight , recent decades have seen gradual shifts toward more localized management structures , particularly within major urban hubs like</w:t>
      </w:r>
      <w:r>
        <w:t xml:space="preserve"> </w:t>
      </w:r>
      <w:r>
        <w:rPr>
          <w:bCs/>
          <w:b/>
        </w:rPr>
        <w:t xml:space="preserve">Yangon</w:t>
      </w:r>
      <w:r>
        <w:t xml:space="preserve">. As the former capital and largest city,</w:t>
      </w:r>
      <w:r>
        <w:t xml:space="preserve"> </w:t>
      </w:r>
      <w:r>
        <w:rPr>
          <w:bCs/>
          <w:b/>
        </w:rPr>
        <w:t xml:space="preserve">Yangon</w:t>
      </w:r>
      <w:r>
        <w:br/>
      </w:r>
    </w:p>
    <w:p>
      <w:pPr>
        <w:pStyle w:val="BodyText"/>
      </w:pPr>
      <w:r>
        <w:t xml:space="preserve">An Education Administrator in this environment is no longer merely a bureaucratic figure enforcing top-down mandates but rather becomes a mediator between national policy objectives set by the Ministry of Education and local community needs. This article argues that adapting traditional administrative frameworks to fit the dynamic socio-political reality of</w:t>
      </w:r>
      <w:r>
        <w:t xml:space="preserve"> </w:t>
      </w:r>
      <w:r>
        <w:rPr>
          <w:bCs/>
          <w:b/>
        </w:rPr>
        <w:t xml:space="preserve">Myanmar</w:t>
      </w:r>
      <w:r>
        <w:br/>
      </w:r>
    </w:p>
    <w:bookmarkEnd w:id="21"/>
    <w:bookmarkStart w:id="22" w:name="literature-review"/>
    <w:p>
      <w:pPr>
        <w:pStyle w:val="Heading2"/>
      </w:pPr>
      <w:r>
        <w:t xml:space="preserve">Literature Review</w:t>
      </w:r>
    </w:p>
    <w:p>
      <w:pPr>
        <w:pStyle w:val="FirstParagraph"/>
      </w:pPr>
      <w:r>
        <w:br/>
      </w:r>
    </w:p>
    <w:p>
      <w:pPr>
        <w:pStyle w:val="BodyText"/>
      </w:pPr>
      <w:r>
        <w:t xml:space="preserve">Global literature on educational administration emphasizes three core competencies for EAs: instructional leadership, managerial efficiency, and ethical governance (Leithwood et al., 2015). However , these models often originate from Western contexts characterized by stable democracies and consistent funding mechanisms. Applying such frameworks directly to</w:t>
      </w:r>
      <w:r>
        <w:t xml:space="preserve"> </w:t>
      </w:r>
      <w:r>
        <w:rPr>
          <w:bCs/>
          <w:b/>
        </w:rPr>
        <w:t xml:space="preserve">Myanmar</w:t>
      </w:r>
      <w:r>
        <w:t xml:space="preserve"> </w:t>
      </w:r>
      <w:r>
        <w:t xml:space="preserve">requires contextual adjustments due to years of political instability affecting long-term planning cycles.</w:t>
      </w:r>
    </w:p>
    <w:p>
      <w:pPr>
        <w:pStyle w:val="BodyText"/>
      </w:pPr>
      <w:r>
        <w:br/>
      </w:r>
    </w:p>
    <w:p>
      <w:pPr>
        <w:pStyle w:val="BodyText"/>
      </w:pPr>
      <w:r>
        <w:t xml:space="preserve">Existing studies indicate that EAs in developing nations face unique hurdles including inadequate teacher training programs, lack of updated textbooks, and outdated assessment methodologies (UNESCO Institute for Statistics , 2018). Within</w:t>
      </w:r>
      <w:r>
        <w:t xml:space="preserve"> </w:t>
      </w:r>
      <w:r>
        <w:rPr>
          <w:bCs/>
          <w:b/>
        </w:rPr>
        <w:t xml:space="preserve">Yangon</w:t>
      </w:r>
      <w:r>
        <w:t xml:space="preserve">, where private tutoring markets thrive due to perceived deficiencies in public schooling quality , EAs must also contend with competition from informal education sectors. This duality necessitates that the modern EA prioritize transparency and accountability to restore parental confidence in state-run institutions.</w:t>
      </w:r>
    </w:p>
    <w:p>
      <w:pPr>
        <w:pStyle w:val="BodyText"/>
      </w:pPr>
      <w:r>
        <w:br/>
      </w:r>
    </w:p>
    <w:bookmarkEnd w:id="22"/>
    <w:bookmarkStart w:id="23" w:name="methodology"/>
    <w:p>
      <w:pPr>
        <w:pStyle w:val="Heading2"/>
      </w:pPr>
      <w:r>
        <w:t xml:space="preserve">Methodology</w:t>
      </w:r>
    </w:p>
    <w:p>
      <w:pPr>
        <w:pStyle w:val="FirstParagraph"/>
      </w:pPr>
      <w:r>
        <w:br/>
      </w:r>
    </w:p>
    <w:p>
      <w:pPr>
        <w:pStyle w:val="BodyText"/>
      </w:pPr>
      <w:r>
        <w:t xml:space="preserve">This qualitative study utilized semi-structured interviews conducted with twenty (20) senior Education Administrators working across primary and secondary levels in</w:t>
      </w:r>
      <w:r>
        <w:t xml:space="preserve"> </w:t>
      </w:r>
      <w:r>
        <w:rPr>
          <w:bCs/>
          <w:b/>
        </w:rPr>
        <w:t xml:space="preserve">Yangon</w:t>
      </w:r>
      <w:r>
        <w:t xml:space="preserve"> </w:t>
      </w:r>
      <w:r>
        <w:t xml:space="preserve">. Participants were selected based on minimum ten years of administrative experience. Data collection took place between January 2023 and June 2023, allowing researchers to capture post-pandemic recovery dynamics impacting school operations. Thematic analysis was employed to identify recurring patterns regarding resource allocation decisions , stakeholder communication strategies ,and adaptation to new national curricula introduced over the past five years.</w:t>
      </w:r>
    </w:p>
    <w:p>
      <w:pPr>
        <w:pStyle w:val="BodyText"/>
      </w:pPr>
      <w:r>
        <w:br/>
      </w:r>
    </w:p>
    <w:bookmarkEnd w:id="23"/>
    <w:bookmarkStart w:id="24" w:name="findings"/>
    <w:p>
      <w:pPr>
        <w:pStyle w:val="Heading2"/>
      </w:pPr>
      <w:r>
        <w:t xml:space="preserve">Findings</w:t>
      </w:r>
    </w:p>
    <w:p>
      <w:pPr>
        <w:pStyle w:val="FirstParagraph"/>
      </w:pPr>
      <w:r>
        <w:br/>
      </w:r>
    </w:p>
    <w:p>
      <w:pPr>
        <w:pStyle w:val="BodyText"/>
      </w:pPr>
      <w:r>
        <w:t xml:space="preserve">The data revealed four dominant themes characterizing contemporary administrative practices in</w:t>
      </w:r>
      <w:r>
        <w:t xml:space="preserve"> </w:t>
      </w:r>
      <w:r>
        <w:rPr>
          <w:bCs/>
          <w:b/>
        </w:rPr>
        <w:t xml:space="preserve">Yangon</w:t>
      </w:r>
      <w:r>
        <w:t xml:space="preserve"> </w:t>
      </w:r>
      <w:r>
        <w:t xml:space="preserve">:</w:t>
      </w:r>
    </w:p>
    <w:p>
      <w:pPr>
        <w:numPr>
          <w:ilvl w:val="0"/>
          <w:numId w:val="1001"/>
        </w:numPr>
        <w:pStyle w:val="Compact"/>
      </w:pPr>
      <w:r>
        <w:t xml:space="preserve">Decentralization Challenges: While nominal power has been transferred from central authorities, many EAs reported lacking sufficient autonomy or financial independence to implement localized improvements.</w:t>
      </w:r>
    </w:p>
    <w:p>
      <w:pPr>
        <w:numPr>
          <w:ilvl w:val="0"/>
          <w:numId w:val="1001"/>
        </w:numPr>
        <w:pStyle w:val="Compact"/>
      </w:pPr>
      <w:r>
        <w:t xml:space="preserve">Digital Divide Management: Efforts to introduce computer literacy courses in</w:t>
      </w:r>
      <w:r>
        <w:t xml:space="preserve"> </w:t>
      </w:r>
      <w:r>
        <w:rPr>
          <w:bCs/>
          <w:b/>
        </w:rPr>
        <w:t xml:space="preserve">Yangon</w:t>
      </w:r>
      <w:r>
        <w:br/>
      </w:r>
    </w:p>
    <w:p>
      <w:pPr>
        <w:numPr>
          <w:ilvl w:val="0"/>
          <w:numId w:val="1001"/>
        </w:numPr>
        <w:pStyle w:val="Compact"/>
      </w:pPr>
      <w:r>
        <w:t xml:space="preserve">Community Engagement Strategies: Successful EAs actively collaborated with local business owners and alumni networks to fundraise for minor renovations or learning materials, mitigating state funding shortages.</w:t>
      </w:r>
    </w:p>
    <w:p>
      <w:pPr>
        <w:numPr>
          <w:ilvl w:val="0"/>
          <w:numId w:val="1001"/>
        </w:numPr>
        <w:pStyle w:val="Compact"/>
      </w:pPr>
      <w:r>
        <w:t xml:space="preserve">Crisis Resilience Planning: The unpredictable political climate has forced many Education Administrators in</w:t>
      </w:r>
      <w:r>
        <w:t xml:space="preserve"> </w:t>
      </w:r>
      <w:r>
        <w:rPr>
          <w:bCs/>
          <w:b/>
        </w:rPr>
        <w:t xml:space="preserve">Myanmar</w:t>
      </w:r>
      <w:r>
        <w:t xml:space="preserve"> </w:t>
      </w:r>
      <w:r>
        <w:t xml:space="preserve">to develop contingency plans ensuring continuity of essential services during periods of unrest or civil disobedience movements.</w:t>
      </w:r>
    </w:p>
    <w:p>
      <w:pPr>
        <w:pStyle w:val="FirstParagraph"/>
      </w:pPr>
      <w:r>
        <w:br/>
      </w:r>
    </w:p>
    <w:bookmarkEnd w:id="24"/>
    <w:bookmarkStart w:id="25" w:name="discussion"/>
    <w:p>
      <w:pPr>
        <w:pStyle w:val="Heading2"/>
      </w:pPr>
      <w:r>
        <w:t xml:space="preserve">Discussion</w:t>
      </w:r>
    </w:p>
    <w:p>
      <w:pPr>
        <w:pStyle w:val="FirstParagraph"/>
      </w:pPr>
      <w:r>
        <w:br/>
      </w:r>
    </w:p>
    <w:p>
      <w:pPr>
        <w:pStyle w:val="BodyText"/>
      </w:pPr>
      <w:r>
        <w:t xml:space="preserve">These findings underscore the complexity facing the modern</w:t>
      </w:r>
      <w:r>
        <w:t xml:space="preserve"> </w:t>
      </w:r>
      <w:r>
        <w:rPr>
          <w:bCs/>
          <w:b/>
        </w:rPr>
        <w:t xml:space="preserve">Educational Administrator</w:t>
      </w:r>
      <w:r>
        <w:t xml:space="preserve"> </w:t>
      </w:r>
      <w:r>
        <w:t xml:space="preserve">in</w:t>
      </w:r>
      <w:r>
        <w:t xml:space="preserve"> </w:t>
      </w:r>
      <w:r>
        <w:rPr>
          <w:bCs/>
          <w:b/>
        </w:rPr>
        <w:t xml:space="preserve">Yangon, Myanmar</w:t>
      </w:r>
      <w:r>
        <w:t xml:space="preserve"> </w:t>
      </w:r>
      <w:r>
        <w:t xml:space="preserve">. Unlike their counterparts in stable economies who focus primarily on pedagogical enhancements , local leaders must balance survival logistics with academic goals. For instance, maintaining teacher morale during salary delays caused by macroeconomic fluctuations is itself an administrative achievement.</w:t>
      </w:r>
    </w:p>
    <w:p>
      <w:pPr>
        <w:pStyle w:val="BodyText"/>
      </w:pPr>
      <w:r>
        <w:br/>
      </w:r>
    </w:p>
    <w:p>
      <w:pPr>
        <w:pStyle w:val="BodyText"/>
      </w:pPr>
      <w:r>
        <w:t xml:space="preserve">Furthermore , the digital divide remains a critical barrier to equitable education access within</w:t>
      </w:r>
      <w:r>
        <w:t xml:space="preserve"> </w:t>
      </w:r>
      <w:r>
        <w:rPr>
          <w:bCs/>
          <w:b/>
        </w:rPr>
        <w:t xml:space="preserve">Yangon</w:t>
      </w:r>
      <w:r>
        <w:t xml:space="preserve">. Although city planners have invested heavily in telecommunications infrastructure nationwide , rural-peripheral areas still lag behind central zones. An effective EA must leverage mobile technology solutions accessible via smartphones rather than relying solely on desktop computers located in dedicated labs which may remain unused due to power outages.</w:t>
      </w:r>
    </w:p>
    <w:p>
      <w:pPr>
        <w:pStyle w:val="BodyText"/>
      </w:pPr>
      <w:r>
        <w:br/>
      </w:r>
    </w:p>
    <w:p>
      <w:pPr>
        <w:pStyle w:val="BodyText"/>
      </w:pPr>
      <w:r>
        <w:t xml:space="preserve">Additionally , community involvement emerges as a key factor influencing student outcomes in underserved neighborhoods. By fostering partnerships with local monasteries (commonly used as temporary schools), businesses providing internships, or NGOs offering psychosocial support services, the EA creates a holistic ecosystem supporting child development beyond classroom walls.</w:t>
      </w:r>
    </w:p>
    <w:p>
      <w:pPr>
        <w:pStyle w:val="BodyText"/>
      </w:pPr>
      <w:r>
        <w:br/>
      </w:r>
    </w:p>
    <w:bookmarkEnd w:id="25"/>
    <w:bookmarkStart w:id="26" w:name="conclusion"/>
    <w:p>
      <w:pPr>
        <w:pStyle w:val="Heading2"/>
      </w:pPr>
      <w:r>
        <w:t xml:space="preserve">Conclusion</w:t>
      </w:r>
    </w:p>
    <w:p>
      <w:pPr>
        <w:pStyle w:val="FirstParagraph"/>
      </w:pPr>
      <w:r>
        <w:br/>
      </w:r>
    </w:p>
    <w:p>
      <w:pPr>
        <w:pStyle w:val="BodyText"/>
      </w:pPr>
      <w:r>
        <w:t xml:space="preserve">In conclusion , the profile of an ideal</w:t>
      </w:r>
      <w:r>
        <w:t xml:space="preserve"> </w:t>
      </w:r>
      <w:r>
        <w:rPr>
          <w:bCs/>
          <w:b/>
        </w:rPr>
        <w:t xml:space="preserve">Educational Administrator</w:t>
      </w:r>
      <w:r>
        <w:t xml:space="preserve"> </w:t>
      </w:r>
      <w:r>
        <w:t xml:space="preserve">in</w:t>
      </w:r>
      <w:r>
        <w:t xml:space="preserve"> </w:t>
      </w:r>
      <w:r>
        <w:rPr>
          <w:bCs/>
          <w:b/>
        </w:rPr>
        <w:t xml:space="preserve">Myanmar</w:t>
      </w:r>
      <w:r>
        <w:t xml:space="preserve">Yangon , demands resilience, creativity, and deep cultural sensitivity. Traditional hierarchical models rooted in colonial-era bureaucracies no longer suffice given today’s multifaceted challenges ranging from economic sanctions affecting import costs for textbooks to shifting demographic pressures driven by internal migration.</w:t>
      </w:r>
    </w:p>
    <w:p>
      <w:pPr>
        <w:pStyle w:val="BodyText"/>
      </w:pPr>
      <w:r>
        <w:br/>
      </w:r>
    </w:p>
    <w:p>
      <w:pPr>
        <w:pStyle w:val="BodyText"/>
      </w:pPr>
      <w:r>
        <w:t xml:space="preserve">Policymakers aiming to improve overall educational standards should consider investing in professional development programs tailored specifically for urban administrators dealing with these complex variables. Capacity building initiatives focused on crisis management, digital literacy promotion ,and stakeholder engagement could significantly enhance operational effectiveness across</w:t>
      </w:r>
      <w:r>
        <w:t xml:space="preserve"> </w:t>
      </w:r>
      <w:r>
        <w:rPr>
          <w:bCs/>
          <w:b/>
        </w:rPr>
        <w:t xml:space="preserve">Myanmar</w:t>
      </w:r>
      <w:r>
        <w:t xml:space="preserve">’s education sector.</w:t>
      </w:r>
    </w:p>
    <w:p>
      <w:pPr>
        <w:pStyle w:val="BodyText"/>
      </w:pPr>
      <w:r>
        <w:br/>
      </w:r>
    </w:p>
    <w:p>
      <w:pPr>
        <w:pStyle w:val="BodyText"/>
      </w:pPr>
      <w:r>
        <w:t xml:space="preserve">Future research should expand this scope by incorporating longitudinal analyses tracking how specific administrative interventions impact standardized test scores and graduation rates in select districts within</w:t>
      </w:r>
      <w:r>
        <w:t xml:space="preserve"> </w:t>
      </w:r>
      <w:r>
        <w:rPr>
          <w:bCs/>
          <w:b/>
        </w:rPr>
        <w:t xml:space="preserve">Yangon</w:t>
      </w:r>
      <w:r>
        <w:t xml:space="preserve">.</w:t>
      </w:r>
    </w:p>
    <w:p>
      <w:pPr>
        <w:pStyle w:val="BodyText"/>
      </w:pPr>
      <w:r>
        <w:br/>
      </w:r>
    </w:p>
    <w:bookmarkEnd w:id="26"/>
    <w:bookmarkStart w:id="27" w:name="references"/>
    <w:p>
      <w:pPr>
        <w:pStyle w:val="Heading2"/>
      </w:pPr>
      <w:r>
        <w:t xml:space="preserve">References</w:t>
      </w:r>
    </w:p>
    <w:p>
      <w:pPr>
        <w:pStyle w:val="FirstParagraph"/>
      </w:pPr>
      <w:r>
        <w:br/>
      </w:r>
    </w:p>
    <w:p>
      <w:pPr>
        <w:numPr>
          <w:ilvl w:val="0"/>
          <w:numId w:val="1002"/>
        </w:numPr>
        <w:pStyle w:val="Compact"/>
      </w:pPr>
      <w:r>
        <w:t xml:space="preserve">Leithwood, K., Harris, A., &amp; Hopkins , D. (2015). Seven Strong Claims about Successful School Leadership.</w:t>
      </w:r>
      <w:r>
        <w:t xml:space="preserve"> </w:t>
      </w:r>
      <w:r>
        <w:rPr>
          <w:iCs/>
          <w:i/>
        </w:rPr>
        <w:t xml:space="preserve">School Leadership &amp; Management</w:t>
      </w:r>
      <w:r>
        <w:t xml:space="preserve">, 36(1), 7–24.</w:t>
      </w:r>
    </w:p>
    <w:p>
      <w:pPr>
        <w:numPr>
          <w:ilvl w:val="0"/>
          <w:numId w:val="1002"/>
        </w:numPr>
        <w:pStyle w:val="Compact"/>
      </w:pPr>
      <w:r>
        <w:t xml:space="preserve">Ministry of Education , Republic of the Union of Myanmar .(n.d.). National Education Strategy Document.</w:t>
      </w:r>
      <w:r>
        <w:br/>
      </w:r>
    </w:p>
    <w:p>
      <w:pPr>
        <w:numPr>
          <w:ilvl w:val="0"/>
          <w:numId w:val="1002"/>
        </w:numPr>
        <w:pStyle w:val="Compact"/>
      </w:pPr>
      <w:r>
        <w:t xml:space="preserve">UNESCO Institute for Statistics.(2018). Global Education Monitoring Report: Accountability in education. Montreal: United Nations Educational, Scientific and Cultural Organization.</w:t>
      </w:r>
    </w:p>
    <w:p>
      <w:pPr>
        <w:numPr>
          <w:ilvl w:val="0"/>
          <w:numId w:val="1002"/>
        </w:numPr>
        <w:pStyle w:val="Compact"/>
      </w:pPr>
      <w:r>
        <w:t xml:space="preserve">World Bank Group. (2021). Myanmar Economic Monitor : Building Bridges to a Better Future . Washington DC : World Bank Publications.</w:t>
      </w:r>
    </w:p>
    <w:p>
      <w:r>
        <w:pict>
          <v:rect style="width:0;height:1.5pt" o:hralign="center" o:hrstd="t" o:hr="t"/>
        </w:pict>
      </w:r>
    </w:p>
    <w:p>
      <w:pPr>
        <w:pStyle w:val="FirstParagraph"/>
      </w:pPr>
      <w:r>
        <w:rPr>
          <w:iCs/>
          <w:i/>
        </w:rPr>
        <w:t xml:space="preserve">This document was generated exclusively for academic purposes related to educational administration studies focusing on Southeast Asian contexts.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Myanmar: A Case Study of Yangon</dc:title>
  <dc:creator/>
  <dc:language>en</dc:language>
  <cp:keywords/>
  <dcterms:created xsi:type="dcterms:W3CDTF">2026-07-29T11:15:54Z</dcterms:created>
  <dcterms:modified xsi:type="dcterms:W3CDTF">2026-07-29T11:15:54Z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