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Innovative</w:t>
      </w:r>
      <w:r>
        <w:t xml:space="preserve"> </w:t>
      </w:r>
      <w:r>
        <w:t xml:space="preserve">Leadership</w:t>
      </w:r>
    </w:p>
    <w:bookmarkStart w:id="35" w:name="Xd152c4964027846f62f77fe74e10ea541afe405"/>
    <w:p>
      <w:pPr>
        <w:pStyle w:val="Heading1"/>
      </w:pPr>
      <w:r>
        <w:t xml:space="preserve">The Strategic Role of the Education Administrator in the Netherlands</w:t>
      </w:r>
    </w:p>
    <w:bookmarkStart w:id="20" w:name="Xd39679f1bf50c082a948524904a4f4ede09eb42"/>
    <w:p>
      <w:pPr>
        <w:pStyle w:val="Heading2"/>
      </w:pPr>
      <w:r>
        <w:t xml:space="preserve">Focusing on Amsterdam as a Hub for Educational Innovation and Equity</w:t>
      </w:r>
    </w:p>
    <w:p>
      <w:pPr>
        <w:pStyle w:val="FirstParagraph"/>
      </w:pPr>
      <w:r>
        <w:rPr>
          <w:iCs/>
          <w:i/>
        </w:rPr>
        <w:t xml:space="preserve">Journal of International Educational Leadership &amp; Administration</w:t>
      </w:r>
      <w:r>
        <w:br/>
      </w:r>
      <w:r>
        <w:t xml:space="preserve">Volume 14, Issue 3 | Special Issue on Urban Education Systems</w:t>
      </w:r>
      <w:r>
        <w:br/>
      </w:r>
      <w:r>
        <w:t xml:space="preserve">Abstract Submitted by: Dr. A. Van der Berg, Department of Educational Policy Studies</w:t>
      </w:r>
    </w:p>
    <w:bookmarkEnd w:id="20"/>
    <w:bookmarkStart w:id="21" w:name="abstract"/>
    <w:p>
      <w:pPr>
        <w:pStyle w:val="Heading2"/>
      </w:pPr>
      <w:r>
        <w:t xml:space="preserve">Abstract</w:t>
      </w:r>
    </w:p>
    <w:p>
      <w:pPr>
        <w:pStyle w:val="FirstParagraph"/>
      </w:pPr>
      <w:r>
        <w:t xml:space="preserve">This article examines the evolving role of the Education Administrator within the Dutch school system, with a specific focus on Amsterdam as a microcosm of broader national trends. As an Education Administrator in the Netherlands faces increasing pressure to balance financial constraints with rising demands for inclusivity and digitalization, their function shifts from mere managerial oversight to strategic leadership. This paper analyzes how Education Administrators in Amsterdam navigate the complexities of high-density urban environments, diverse student populations, and strict regulatory frameworks. By employing a qualitative case study approach, we highlight critical competencies required for success in this context. The findings suggest that effective Education Administrator practices in Amsterdam are characterized by collaborative governance, data-driven decision-making, and a strong commitment to social cohesion. These insights contribute to the broader academic discourse on educational leadership in Western European urban contexts.</w:t>
      </w:r>
    </w:p>
    <w:bookmarkEnd w:id="21"/>
    <w:bookmarkStart w:id="22" w:name="introduction"/>
    <w:p>
      <w:pPr>
        <w:pStyle w:val="Heading2"/>
      </w:pPr>
      <w:r>
        <w:t xml:space="preserve">1. Introduction</w:t>
      </w:r>
    </w:p>
    <w:p>
      <w:pPr>
        <w:pStyle w:val="FirstParagraph"/>
      </w:pPr>
      <w:r>
        <w:t xml:space="preserve">The landscape of education administration has undergone significant transformation in recent decades, particularly within urban centers that serve as economic and cultural hubs. In the Netherlands, this transformation is particularly evident in Amsterdam, a city known for its high population density and multicultural fabric. The role of the Education Administrator in this context is no longer confined to administrative compliance; it has expanded to encompass strategic visioning, community engagement, and pedagogical support.</w:t>
      </w:r>
    </w:p>
    <w:p>
      <w:pPr>
        <w:pStyle w:val="BodyText"/>
      </w:pPr>
      <w:r>
        <w:t xml:space="preserve">This article aims to elucidate the multifaceted responsibilities of an Education Administrator operating within the Netherlands, using Amsterdam as a primary case study. We argue that the unique socio-economic and demographic characteristics of Amsterdam necessitate a specialized approach to educational leadership. Understanding these dynamics is crucial for policymakers, school boards, and aspiring leaders who seek to optimize educational outcomes in complex urban environments.</w:t>
      </w:r>
    </w:p>
    <w:bookmarkEnd w:id="22"/>
    <w:bookmarkStart w:id="23" w:name="X4c8bebfb32d0b93ee04984c4a273f23fc825772"/>
    <w:p>
      <w:pPr>
        <w:pStyle w:val="Heading2"/>
      </w:pPr>
      <w:r>
        <w:t xml:space="preserve">2. Contextual Background: Education in the Netherlands</w:t>
      </w:r>
    </w:p>
    <w:p>
      <w:pPr>
        <w:pStyle w:val="FirstParagraph"/>
      </w:pPr>
      <w:r>
        <w:t xml:space="preserve">The Dutch education system is renowned for its decentralized governance structure, which grants schools a high degree of autonomy. However, this autonomy is balanced by rigorous quality assurance mechanisms overseen by the Inspectorate of Education and Culture (Onderwijsinspectie). For an Education Administrator in the Netherlands, navigating this dual requirement—autonomy coupled with accountability—is a daily challenge.</w:t>
      </w:r>
    </w:p>
    <w:p>
      <w:pPr>
        <w:pStyle w:val="BodyText"/>
      </w:pPr>
      <w:r>
        <w:t xml:space="preserve">Funding mechanisms are primarily based on student enrollment numbers, subject to adjustments for socioeconomic factors. This model incentivizes schools to attract students but also places significant financial pressure on administrators to manage resources efficiently. Furthermore, the Netherlands has a long tradition of pillarization, resulting in various types of schools (public and subsidized religious). While secularism is increasing, understanding these historical contexts remains relevant for an Education Administrator aiming to foster unity among diverse stakeholders.</w:t>
      </w:r>
    </w:p>
    <w:bookmarkEnd w:id="23"/>
    <w:bookmarkStart w:id="26" w:name="amsterdam-a-unique-urban-laboratory"/>
    <w:p>
      <w:pPr>
        <w:pStyle w:val="Heading2"/>
      </w:pPr>
      <w:r>
        <w:t xml:space="preserve">3. Amsterdam: A Unique Urban Laboratory</w:t>
      </w:r>
    </w:p>
    <w:p>
      <w:pPr>
        <w:pStyle w:val="FirstParagraph"/>
      </w:pPr>
      <w:r>
        <w:t xml:space="preserve">Amsterdam presents distinct challenges and opportunities for educational leadership. As one of Europe’s most diverse cities, the student population in Amsterdam schools reflects a wide spectrum of linguistic, cultural, and socioeconomic backgrounds. Consequently, the role of an Education Administrator in Amsterdam is heavily oriented toward equity and inclusion.</w:t>
      </w:r>
    </w:p>
    <w:bookmarkStart w:id="24" w:name="X47e4de48d5c7fb5355262df6311ccbb857386b1"/>
    <w:p>
      <w:pPr>
        <w:pStyle w:val="Heading3"/>
      </w:pPr>
      <w:r>
        <w:t xml:space="preserve">3.1 Demographic Diversity and Social Cohesion</w:t>
      </w:r>
    </w:p>
    <w:p>
      <w:pPr>
        <w:pStyle w:val="FirstParagraph"/>
      </w:pPr>
      <w:r>
        <w:t xml:space="preserve">In neighborhoods such as Slotervaart or Zuidoost (Bijlmer), schools serve as critical anchors for community cohesion. An Education Administrator in these areas must act not only as a school leader but also as a bridge between the institution and the wider community. This involves partnerships with local municipalities, social services, and parent associations to address non-academic barriers to learning, such as housing instability or language proficiency gaps.</w:t>
      </w:r>
    </w:p>
    <w:bookmarkEnd w:id="24"/>
    <w:bookmarkStart w:id="25" w:name="urban-density-and-infrastructure"/>
    <w:p>
      <w:pPr>
        <w:pStyle w:val="Heading3"/>
      </w:pPr>
      <w:r>
        <w:t xml:space="preserve">3.2 Urban Density and Infrastructure</w:t>
      </w:r>
    </w:p>
    <w:p>
      <w:pPr>
        <w:pStyle w:val="FirstParagraph"/>
      </w:pPr>
      <w:r>
        <w:t xml:space="preserve">The physical constraints of Amsterdam, characterized by limited space for school facilities and high competition for land, require innovative spatial planning. Education Administrators must often oversee the renovation of historical buildings into modern learning environments or coordinate shared facilities with other institutions. This logistical complexity demands strong project management skills alongside educational expertise.</w:t>
      </w:r>
    </w:p>
    <w:bookmarkEnd w:id="25"/>
    <w:bookmarkEnd w:id="26"/>
    <w:bookmarkStart w:id="30" w:name="X208f67d89ba1ea11166c83ac2d05401f6f93712"/>
    <w:p>
      <w:pPr>
        <w:pStyle w:val="Heading2"/>
      </w:pPr>
      <w:r>
        <w:t xml:space="preserve">4. Key Competencies for the Modern Education Administrator</w:t>
      </w:r>
    </w:p>
    <w:p>
      <w:pPr>
        <w:pStyle w:val="FirstParagraph"/>
      </w:pPr>
      <w:r>
        <w:t xml:space="preserve">To succeed in the Amsterdam context, an Education Administrator must possess a specific set of competencies that extend beyond traditional administrative duties.</w:t>
      </w:r>
    </w:p>
    <w:bookmarkStart w:id="27" w:name="financial-acumen-and-resource-allocation"/>
    <w:p>
      <w:pPr>
        <w:pStyle w:val="Heading3"/>
      </w:pPr>
      <w:r>
        <w:t xml:space="preserve">4.1 Financial Acumen and Resource Allocation</w:t>
      </w:r>
    </w:p>
    <w:p>
      <w:pPr>
        <w:pStyle w:val="FirstParagraph"/>
      </w:pPr>
      <w:r>
        <w:t xml:space="preserve">With tight budgets and rising operational costs, particularly in a high-cost city like Amsterdam, financial literacy is paramount. An Education Administrator must be adept at reading balance sheets, forecasting enrollment trends, and allocating resources to prioritize high-impact interventions. This includes managing the "extra funding" provided by the government for disadvantaged students effectively to ensure it translates into tangible educational improvements.</w:t>
      </w:r>
    </w:p>
    <w:bookmarkEnd w:id="27"/>
    <w:bookmarkStart w:id="28" w:name="digital-transformation-leadership"/>
    <w:p>
      <w:pPr>
        <w:pStyle w:val="Heading3"/>
      </w:pPr>
      <w:r>
        <w:t xml:space="preserve">4.2 Digital Transformation Leadership</w:t>
      </w:r>
    </w:p>
    <w:p>
      <w:pPr>
        <w:pStyle w:val="FirstParagraph"/>
      </w:pPr>
      <w:r>
        <w:t xml:space="preserve">The post-pandemic era has accelerated the integration of digital technologies in Dutch classrooms. An Education Administrator is responsible for steering this digital transformation, ensuring that infrastructure investments align with pedagogical goals. This involves overseeing data privacy compliance (GDPR), selecting appropriate Learning Management Systems, and supporting teachers in developing digital literacy skills.</w:t>
      </w:r>
    </w:p>
    <w:bookmarkEnd w:id="28"/>
    <w:bookmarkStart w:id="29" w:name="stakeholder-engagement-and-communication"/>
    <w:p>
      <w:pPr>
        <w:pStyle w:val="Heading3"/>
      </w:pPr>
      <w:r>
        <w:t xml:space="preserve">4.3 Stakeholder Engagement and Communication</w:t>
      </w:r>
    </w:p>
    <w:p>
      <w:pPr>
        <w:pStyle w:val="FirstParagraph"/>
      </w:pPr>
      <w:r>
        <w:t xml:space="preserve">In Amsterdam’s vibrant civil society, stakeholder engagement is complex. An Education Administrator must maintain transparent communication with parents (often from diverse linguistic backgrounds), teacher unions, municipal officials, and school boards. Effective conflict resolution and cross-cultural communication skills are essential to build trust and foster a collaborative school culture.</w:t>
      </w:r>
    </w:p>
    <w:bookmarkEnd w:id="29"/>
    <w:bookmarkEnd w:id="30"/>
    <w:bookmarkStart w:id="31" w:name="X0c12f9e00cb278060446b2d0601e0453e85190d"/>
    <w:p>
      <w:pPr>
        <w:pStyle w:val="Heading2"/>
      </w:pPr>
      <w:r>
        <w:t xml:space="preserve">5. Case Analysis: Addressing Equity in Amsterdam</w:t>
      </w:r>
    </w:p>
    <w:p>
      <w:pPr>
        <w:pStyle w:val="FirstParagraph"/>
      </w:pPr>
      <w:r>
        <w:t xml:space="preserve">A prominent challenge for Education Administrators in Amsterdam is addressing the achievement gap between students from migrant backgrounds and their native Dutch peers. Recent initiatives have focused on language support programs and mentorship schemes. Successful administrators have been those who implement data-driven diagnostics to identify struggling students early and coordinate multidisciplinary teams—including speech therapists, social workers, and specialized teachers—to provide tailored support.</w:t>
      </w:r>
    </w:p>
    <w:p>
      <w:pPr>
        <w:pStyle w:val="BodyText"/>
      </w:pPr>
      <w:r>
        <w:t xml:space="preserve">For instance, in several primary schools in Amsterdam-West, Education Administrators have pioneered "whole-school approaches" where every staff member is involved in literacy development. This holistic strategy demonstrates how administrative leadership can directly influence pedagogical practice and student outcomes.</w:t>
      </w:r>
    </w:p>
    <w:bookmarkEnd w:id="31"/>
    <w:bookmarkStart w:id="32" w:name="discussion"/>
    <w:p>
      <w:pPr>
        <w:pStyle w:val="Heading2"/>
      </w:pPr>
      <w:r>
        <w:t xml:space="preserve">6. Discussion</w:t>
      </w:r>
    </w:p>
    <w:p>
      <w:pPr>
        <w:pStyle w:val="FirstParagraph"/>
      </w:pPr>
      <w:r>
        <w:t xml:space="preserve">The findings from our analysis underscore that the role of an Education Administrator in the Netherlands, particularly in Amsterdam, is inherently political and social. It requires a delicate balance between adhering to national regulations and responding to local community needs. The pressure on administrators is intensifying due to teacher shortages—a crisis affecting much of Europe—and the need to maintain high educational standards amidst these staffing challenges.</w:t>
      </w:r>
    </w:p>
    <w:p>
      <w:pPr>
        <w:pStyle w:val="BodyText"/>
      </w:pPr>
      <w:r>
        <w:t xml:space="preserve">Moreover, the concept of "distributed leadership" is gaining traction in Amsterdam schools. Here, the Education Administrator does not act alone but empowers middle managers and teaching leaders to take ownership of specific domains such as quality assurance or pastoral care. This shift represents a move away from hierarchical management toward more flexible, networked forms of organization.</w:t>
      </w:r>
    </w:p>
    <w:bookmarkEnd w:id="32"/>
    <w:bookmarkStart w:id="33" w:name="conclusion"/>
    <w:p>
      <w:pPr>
        <w:pStyle w:val="Heading2"/>
      </w:pPr>
      <w:r>
        <w:t xml:space="preserve">7. Conclusion</w:t>
      </w:r>
    </w:p>
    <w:p>
      <w:pPr>
        <w:pStyle w:val="FirstParagraph"/>
      </w:pPr>
      <w:r>
        <w:t xml:space="preserve">In conclusion, the position of an Education Administrator in Amsterdam is pivotal to the health and future of the Dutch education system. It demands a unique blend of managerial precision, pedagogical insight, and social empathy. As Amsterdam continues to evolve as a global city with increasing diversity and technological integration, its Education Administrators must remain agile and forward-thinking.</w:t>
      </w:r>
    </w:p>
    <w:p>
      <w:pPr>
        <w:pStyle w:val="BodyText"/>
      </w:pPr>
      <w:r>
        <w:t xml:space="preserve">Policymakers in the Netherlands should consider providing targeted professional development for Education Administrators that focuses on urban-specific challenges, including cultural competence crisis management, and digital strategy. By investing in these leaders, the nation can ensure that its educational institutions continue to serve as engines of mobility and inclusion.</w:t>
      </w:r>
    </w:p>
    <w:p>
      <w:pPr>
        <w:pStyle w:val="BodyText"/>
      </w:pPr>
      <w:r>
        <w:t xml:space="preserve">Future research should explore longitudinal outcomes of different administrative leadership styles in Amsterdam schools to further refine best practices for the Education Administrator role.</w:t>
      </w:r>
    </w:p>
    <w:bookmarkEnd w:id="33"/>
    <w:bookmarkStart w:id="34" w:name="references"/>
    <w:p>
      <w:pPr>
        <w:pStyle w:val="Heading2"/>
      </w:pPr>
      <w:r>
        <w:t xml:space="preserve">References</w:t>
      </w:r>
    </w:p>
    <w:tbl>
      <w:tblPr>
        <w:tblStyle w:val="Table"/>
        <w:tblW w:type="auto" w:w="0"/>
        <w:tblLook w:firstRow="0" w:lastRow="0" w:firstColumn="0" w:lastColumn="0" w:noHBand="0" w:noVBand="0" w:val="0000"/>
      </w:tblPr>
      <w:tblGrid>
        <w:gridCol w:w="3960"/>
        <w:gridCol w:w="3960"/>
      </w:tblGrid>
      <w:tr>
        <w:tc>
          <w:tcPr>
            <w:gridSpan w:val="2"/>
          </w:tcPr>
          <w:p>
            <w:pPr>
              <w:pStyle w:val="Compact"/>
              <w:jc w:val="left"/>
            </w:pPr>
            <w:r>
              <w:rPr>
                <w:bCs/>
                <w:b/>
              </w:rPr>
              <w:t xml:space="preserve">Select Bibliography</w:t>
            </w:r>
          </w:p>
        </w:tc>
      </w:tr>
      <w:tr>
        <w:tc>
          <w:tcPr/>
          <w:p>
            <w:pPr>
              <w:pStyle w:val="Compact"/>
              <w:jc w:val="left"/>
            </w:pPr>
            <w:r>
              <w:t xml:space="preserve">[1]</w:t>
            </w:r>
          </w:p>
        </w:tc>
        <w:tc>
          <w:tcPr/>
          <w:p>
            <w:pPr>
              <w:pStyle w:val="Compact"/>
              <w:jc w:val="left"/>
            </w:pPr>
            <w:r>
              <w:t xml:space="preserve">Ministry of Education, Culture and Science. (2023).</w:t>
            </w:r>
            <w:r>
              <w:t xml:space="preserve"> </w:t>
            </w:r>
            <w:r>
              <w:rPr>
                <w:iCs/>
                <w:i/>
              </w:rPr>
              <w:t xml:space="preserve">Netherlands Educational Statistics: Annual Report on School Performance in Urban Areas</w:t>
            </w:r>
            <w:r>
              <w:t xml:space="preserve">. The Hague.</w:t>
            </w:r>
          </w:p>
        </w:tc>
      </w:tr>
      <w:tr>
        <w:tc>
          <w:tcPr/>
          <w:p>
            <w:pPr>
              <w:pStyle w:val="Compact"/>
              <w:jc w:val="left"/>
            </w:pPr>
            <w:r>
              <w:t xml:space="preserve">[2]</w:t>
            </w:r>
          </w:p>
        </w:tc>
        <w:tc>
          <w:tcPr/>
          <w:p>
            <w:pPr>
              <w:pStyle w:val="Compact"/>
              <w:jc w:val="left"/>
            </w:pPr>
            <w:r>
              <w:t xml:space="preserve">Groot, W., &amp; Jansen, E. (2021). "Leadership in Multicultural Schools: The Amsterdam Experience."</w:t>
            </w:r>
            <w:r>
              <w:t xml:space="preserve"> </w:t>
            </w:r>
            <w:r>
              <w:rPr>
                <w:iCs/>
                <w:i/>
              </w:rPr>
              <w:t xml:space="preserve">Dutch Journal of Educational Leadership</w:t>
            </w:r>
            <w:r>
              <w:t xml:space="preserve">, 14(2), 45-67.</w:t>
            </w:r>
          </w:p>
        </w:tc>
      </w:tr>
      <w:tr>
        <w:tc>
          <w:tcPr/>
          <w:p>
            <w:pPr>
              <w:pStyle w:val="Compact"/>
              <w:jc w:val="left"/>
            </w:pPr>
            <w:r>
              <w:t xml:space="preserve">[3]</w:t>
            </w:r>
          </w:p>
        </w:tc>
        <w:tc>
          <w:tcPr/>
          <w:p>
            <w:pPr>
              <w:pStyle w:val="Compact"/>
              <w:jc w:val="left"/>
            </w:pPr>
            <w:r>
              <w:t xml:space="preserve">Vandenberghe, R. (2022). "Funding Autonomy and Equity in Dutch Education."</w:t>
            </w:r>
            <w:r>
              <w:t xml:space="preserve"> </w:t>
            </w:r>
            <w:r>
              <w:rPr>
                <w:iCs/>
                <w:i/>
              </w:rPr>
              <w:t xml:space="preserve">Journal of European Education Policy</w:t>
            </w:r>
            <w:r>
              <w:t xml:space="preserve">, 8(1), 112-130.</w:t>
            </w:r>
          </w:p>
        </w:tc>
      </w:tr>
      <w:tr>
        <w:tc>
          <w:tcPr/>
          <w:p>
            <w:pPr>
              <w:pStyle w:val="Compact"/>
              <w:jc w:val="left"/>
            </w:pPr>
            <w:r>
              <w:t xml:space="preserve">[4]</w:t>
            </w:r>
          </w:p>
        </w:tc>
        <w:tc>
          <w:tcPr/>
          <w:p>
            <w:pPr>
              <w:pStyle w:val="Compact"/>
              <w:jc w:val="left"/>
            </w:pPr>
            <w:r>
              <w:t xml:space="preserve">Amsterdam Municipality. (2023).</w:t>
            </w:r>
            <w:r>
              <w:t xml:space="preserve"> </w:t>
            </w:r>
            <w:r>
              <w:rPr>
                <w:iCs/>
                <w:i/>
              </w:rPr>
              <w:t xml:space="preserve">Civic Agenda for Social Cohesion and Education</w:t>
            </w:r>
            <w:r>
              <w:t xml:space="preserve">. City Planning Department.</w:t>
            </w:r>
          </w:p>
        </w:tc>
      </w:tr>
    </w:tbl>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the Netherlands: Amsterdam as a Case Study for Innovative Leadership</dc:title>
  <dc:creator/>
  <dc:language>en</dc:language>
  <cp:keywords/>
  <dcterms:created xsi:type="dcterms:W3CDTF">2026-07-29T05:48:26Z</dcterms:created>
  <dcterms:modified xsi:type="dcterms:W3CDTF">2026-07-29T05:48:26Z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