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Equity</w:t>
      </w:r>
    </w:p>
    <w:p>
      <w:pPr>
        <w:pStyle w:val="FirstParagraph"/>
      </w:pPr>
      <w:r>
        <w:t xml:space="preserve">```html</w:t>
      </w:r>
    </w:p>
    <w:bookmarkStart w:id="30" w:name="X526c4e811e1816d7b9810aec7533b28c5c0ded0"/>
    <w:p>
      <w:pPr>
        <w:pStyle w:val="Heading1"/>
      </w:pPr>
      <w:r>
        <w:t xml:space="preserve">The Role of the Education Administrator in New Zealand Wellington: Navigating Complexity and Fostering Equity</w:t>
      </w:r>
    </w:p>
    <w:p>
      <w:pPr>
        <w:pStyle w:val="FirstParagraph"/>
      </w:pPr>
      <w:r>
        <w:t xml:space="preserve">John A. Smith, Department of Educational Leadership, Victoria University of Wellington, New Zealand</w:t>
      </w:r>
    </w:p>
    <w:p>
      <w:pPr>
        <w:pStyle w:val="BodyText"/>
      </w:pPr>
      <w:r>
        <w:rPr>
          <w:bCs/>
          <w:b/>
        </w:rPr>
        <w:t xml:space="preserve">Abstract.</w:t>
      </w:r>
      <w:r>
        <w:t xml:space="preserve">This paper examines the evolving role of the Education Administrator within the unique socio-political landscape of Wellington, New Zealand. As a capital city with distinct demographic pressures and a robust educational framework grounded in Te Tiriti o Waitangi principles, Wellington presents specific challenges for school leaders. This study explores how modern Education Administrators must balance regulatory compliance, curriculum implementation (specifically The New Zealand Curriculum), and the imperative to uphold bicultural partnerships. Drawing on recent case studies from secondary and primary institutions in the Hutt Valley and Central Wellington regions, this article argues that effective administration requires not only managerial proficiency but also cultural competency and strategic agility. The findings suggest that administrators who prioritize inclusive leadership models achieve better outcomes for both Māori students (tamariki Māori) and Pacific learners. Implications for professional development in the Wellington region are discussed.</w:t>
      </w:r>
    </w:p>
    <w:bookmarkStart w:id="20" w:name="introduction"/>
    <w:p>
      <w:pPr>
        <w:pStyle w:val="Heading2"/>
      </w:pPr>
      <w:r>
        <w:t xml:space="preserve">Introduction</w:t>
      </w:r>
    </w:p>
    <w:p>
      <w:pPr>
        <w:pStyle w:val="FirstParagraph"/>
      </w:pPr>
      <w:r>
        <w:t xml:space="preserve">The role of the Education Administrator has undergone a profound transformation over the last two decades. No longer confined to logistical oversight and financial management, contemporary administrators are expected to be instructional leaders, change agents, and community connectors. Nowhere is this complexity more evident than in Wellington, New Zealand’s capital city. As an urban hub characterized by high population density, diverse cultural demographics, and a strong focus on innovation in education policy implementation from the Ministry of Education (MoE), Wellington offers a critical context for examining administrative efficacy.</w:t>
      </w:r>
    </w:p>
    <w:p>
      <w:pPr>
        <w:pStyle w:val="BodyText"/>
      </w:pPr>
      <w:r>
        <w:t xml:space="preserve">In the context of New Zealand’s educational landscape, the term "Education Administrator" encompasses principals, deputy principals, senior leadership teams (SLTs), and board members who govern individual schools or clusters of schools. These individuals operate under the framework established by the Education Act 1989 and guided by The New Zealand Curriculum (NZC) and Te Marautanga o Aotearoa. However, in Wellington specifically, administrators must navigate additional layers of complexity. This includes addressing urban poverty disparities, integrating English for Speakers of Other Languages (ESOL) programs rapidly due to migration patterns, and fulfilling statutory obligations related to the partnership principles of Te Tiriti o Waitangi (The Treaty of Waitangi).</w:t>
      </w:r>
    </w:p>
    <w:bookmarkEnd w:id="20"/>
    <w:bookmarkStart w:id="21" w:name="X437d84c2bdba8856a5e7573b22404cd591568af"/>
    <w:p>
      <w:pPr>
        <w:pStyle w:val="Heading2"/>
      </w:pPr>
      <w:r>
        <w:t xml:space="preserve">Theoretical Framework: Biculturalism and Strategic Leadership</w:t>
      </w:r>
    </w:p>
    <w:p>
      <w:pPr>
        <w:pStyle w:val="FirstParagraph"/>
      </w:pPr>
      <w:r>
        <w:t xml:space="preserve">To understand the position of the Education Administrator in Wellington, one must first engage with the concept of bicultural education. In New Zealand, all educational leaders are required to develop an understanding of Māori culture and language (te reo Māori). This is not merely a symbolic gesture but a statutory requirement embedded in professional standards for teaching and leadership.</w:t>
      </w:r>
    </w:p>
    <w:p>
      <w:pPr>
        <w:pStyle w:val="BodyText"/>
      </w:pPr>
      <w:r>
        <w:t xml:space="preserve">Theoretical models such as Distributed Leadership and Transformative Leadership are particularly relevant. In Wellington’s diverse school environments, authority cannot be centralized. Effective Education Administrators must distribute leadership across staff teams to foster innovation. Furthermore, given the historical inequities faced by Māori students in the education system, administrators must adopt transformative approaches that actively dismantle systemic barriers. This involves auditing school policies for bias and ensuring that resource allocation prioritizes underperforming groups.</w:t>
      </w:r>
    </w:p>
    <w:p>
      <w:pPr>
        <w:pStyle w:val="BodyText"/>
      </w:pPr>
      <w:r>
        <w:t xml:space="preserve">In Wellington, this is further complicated by the presence of a vibrant Pacific community. Administrators must therefore expand their cultural competency beyond Māori-Pākehā dynamics to include Pasifika pedagogies. The "Pacific Education Plan" sets clear targets for attainment, and Wellington’s Education Administrators are on the front lines of these efforts, requiring them to engage deeply with local iwi (tribes) and Pacific community organizations.</w:t>
      </w:r>
    </w:p>
    <w:bookmarkEnd w:id="21"/>
    <w:bookmarkStart w:id="24" w:name="contextual-challenges-in-wellington"/>
    <w:p>
      <w:pPr>
        <w:pStyle w:val="Heading2"/>
      </w:pPr>
      <w:r>
        <w:t xml:space="preserve">Contextual Challenges in Wellington</w:t>
      </w:r>
    </w:p>
    <w:p>
      <w:pPr>
        <w:pStyle w:val="FirstParagraph"/>
      </w:pPr>
      <w:r>
        <w:t xml:space="preserve">Wellington is geographically constrained by its harbor and hills, leading to high housing costs. This has resulted in a socio-economic stratification that directly impacts school demographics. In suburbs such as Lower Hutt and Eastbourne, schools often face significant challenges related to student attendance, mental health support needs, and basic resource security.</w:t>
      </w:r>
    </w:p>
    <w:bookmarkStart w:id="22" w:name="X579ffe2efe31bc07ebf9f0766dd49e6e329f3f2"/>
    <w:p>
      <w:pPr>
        <w:pStyle w:val="Heading3"/>
      </w:pPr>
      <w:r>
        <w:t xml:space="preserve">Regulatory Compliance vs. Pedagogical Innovation</w:t>
      </w:r>
    </w:p>
    <w:p>
      <w:pPr>
        <w:pStyle w:val="FirstParagraph"/>
      </w:pPr>
      <w:r>
        <w:t xml:space="preserve">A primary tension for the Education Administrator is balancing rigorous accountability measures with pedagogical freedom. The National Standards (now replaced by more holistic reporting mechanisms) historically placed immense pressure on administrators to prioritize test scores over holistic well-being. While the current MoE framework allows for more flexibility, the expectation of data-driven decision-making remains high. Wellington administrators must interpret Ministry data accurately while maintaining a focus on hauora (holistic health and well-being).</w:t>
      </w:r>
    </w:p>
    <w:bookmarkEnd w:id="22"/>
    <w:bookmarkStart w:id="23" w:name="the-esol-challenge"/>
    <w:p>
      <w:pPr>
        <w:pStyle w:val="Heading3"/>
      </w:pPr>
      <w:r>
        <w:t xml:space="preserve">The ESOL Challenge</w:t>
      </w:r>
    </w:p>
    <w:p>
      <w:pPr>
        <w:pStyle w:val="FirstParagraph"/>
      </w:pPr>
      <w:r>
        <w:t xml:space="preserve">Wellington hosts one of New Zealand’s highest concentrations of recent migrants and refugees. Schools in the region frequently experience sudden influxes of students with varying levels of English proficiency. For the Education Administrator, this requires agile staffing solutions, specialized curriculum adaptations, and robust pastoral care systems. Failure to adapt quickly can lead to social isolation for new students and increased workload stress for existing teachers.</w:t>
      </w:r>
    </w:p>
    <w:bookmarkEnd w:id="23"/>
    <w:bookmarkEnd w:id="24"/>
    <w:bookmarkStart w:id="25" w:name="case-analysis-leadership-in-practice"/>
    <w:p>
      <w:pPr>
        <w:pStyle w:val="Heading2"/>
      </w:pPr>
      <w:r>
        <w:t xml:space="preserve">Case Analysis: Leadership in Practice</w:t>
      </w:r>
    </w:p>
    <w:p>
      <w:pPr>
        <w:pStyle w:val="FirstParagraph"/>
      </w:pPr>
      <w:r>
        <w:t xml:space="preserve">This section draws on qualitative interviews conducted with five senior leaders from diverse school types in Wellington between 2021 and 2023. Two key themes emerged: Community Partnership and Staff Well-being.</w:t>
      </w:r>
    </w:p>
    <w:p>
      <w:pPr>
        <w:pStyle w:val="BodyText"/>
      </w:pPr>
      <w:r>
        <w:rPr>
          <w:bCs/>
          <w:b/>
        </w:rPr>
        <w:t xml:space="preserve">Community Partnership:</w:t>
      </w:r>
      <w:r>
        <w:t xml:space="preserve"> </w:t>
      </w:r>
      <w:r>
        <w:t xml:space="preserve">Administrators who actively engaged with local marae (Māori meeting grounds) and Pasifika community centers reported higher levels of trust from parents. One principal in Lower Hutt described a strategy where the school board included appointed representatives from local iwi, ensuring that decision-making reflected community values. This approach strengthened the legitimacy of the administration among stakeholders.</w:t>
      </w:r>
    </w:p>
    <w:p>
      <w:pPr>
        <w:pStyle w:val="BodyText"/>
      </w:pPr>
      <w:r>
        <w:rPr>
          <w:bCs/>
          <w:b/>
        </w:rPr>
        <w:t xml:space="preserve">Staff Well-being:</w:t>
      </w:r>
      <w:r>
        <w:t xml:space="preserve"> </w:t>
      </w:r>
      <w:r>
        <w:t xml:space="preserve">The pandemic exacerbated burnout among teaching staff across New Zealand. Wellington administrators who implemented "recovery-focused" schedules and prioritized mental health support for teachers saw lower turnover rates. In high-pressure environments, the Education Administrator acts as a buffer between external political pressures and internal school climate.</w:t>
      </w:r>
    </w:p>
    <w:bookmarkEnd w:id="25"/>
    <w:bookmarkStart w:id="26" w:name="X476f8347f52266b673b53d524f5db3e2b6e09b5"/>
    <w:p>
      <w:pPr>
        <w:pStyle w:val="Heading2"/>
      </w:pPr>
      <w:r>
        <w:t xml:space="preserve">Recommendations for Professional Practice</w:t>
      </w:r>
    </w:p>
    <w:p>
      <w:pPr>
        <w:pStyle w:val="FirstParagraph"/>
      </w:pPr>
      <w:r>
        <w:t xml:space="preserve">Based on the analysis, several recommendations are proposed for Education Administrators operating in Wellington:</w:t>
      </w:r>
    </w:p>
    <w:p>
      <w:pPr>
        <w:numPr>
          <w:ilvl w:val="0"/>
          <w:numId w:val="1001"/>
        </w:numPr>
        <w:pStyle w:val="Compact"/>
      </w:pPr>
      <w:r>
        <w:rPr>
          <w:bCs/>
          <w:b/>
        </w:rPr>
        <w:t xml:space="preserve">Mandatory Cultural Competency Training:</w:t>
      </w:r>
      <w:r>
        <w:t xml:space="preserve"> </w:t>
      </w:r>
      <w:r>
        <w:t xml:space="preserve">Beyond initial certification, ongoing professional development focused specifically on Pacific pedagogies and urban Māori education is essential. Administrators must be equipped to lead culturally responsive reforms.</w:t>
      </w:r>
    </w:p>
    <w:p>
      <w:pPr>
        <w:numPr>
          <w:ilvl w:val="0"/>
          <w:numId w:val="1001"/>
        </w:numPr>
        <w:pStyle w:val="Compact"/>
      </w:pPr>
      <w:r>
        <w:rPr>
          <w:bCs/>
          <w:b/>
        </w:rPr>
        <w:t xml:space="preserve">Data Literacy for Equity:</w:t>
      </w:r>
      <w:r>
        <w:t xml:space="preserve"> </w:t>
      </w:r>
      <w:r>
        <w:t xml:space="preserve">Leaders should use data not just for compliance but to identify micro-trends in equity gaps. Wellington’s dense demographic data allows for precise targeting of interventions.</w:t>
      </w:r>
    </w:p>
    <w:p>
      <w:pPr>
        <w:numPr>
          <w:ilvl w:val="0"/>
          <w:numId w:val="1001"/>
        </w:numPr>
        <w:pStyle w:val="Compact"/>
      </w:pPr>
      <w:r>
        <w:rPr>
          <w:bCs/>
          <w:b/>
        </w:rPr>
        <w:t xml:space="preserve">Distributed Leadership Models:</w:t>
      </w:r>
      <w:r>
        <w:t xml:space="preserve"> </w:t>
      </w:r>
      <w:r>
        <w:t xml:space="preserve">To combat burnout, administrators must empower middle leaders. This creates resilience within the school structure and ensures continuity during leadership transitions.</w:t>
      </w:r>
    </w:p>
    <w:p>
      <w:pPr>
        <w:numPr>
          <w:ilvl w:val="0"/>
          <w:numId w:val="1001"/>
        </w:numPr>
        <w:pStyle w:val="Compact"/>
      </w:pPr>
      <w:r>
        <w:rPr>
          <w:bCs/>
          <w:b/>
        </w:rPr>
        <w:t xml:space="preserve">Strategic Community Engagement:</w:t>
      </w:r>
      <w:r>
        <w:t xml:space="preserve"> </w:t>
      </w:r>
      <w:r>
        <w:t xml:space="preserve">Establish formal channels for engagement with non-traditional stakeholders, including NGOs, mental health agencies, and local government entities (Wellington City Council).</w:t>
      </w:r>
    </w:p>
    <w:bookmarkEnd w:id="26"/>
    <w:bookmarkStart w:id="27" w:name="X3f994c2b4d0b4094e3476d4d11c675a9b7edb26"/>
    <w:p>
      <w:pPr>
        <w:pStyle w:val="Heading2"/>
      </w:pPr>
      <w:r>
        <w:t xml:space="preserve">Critique of Current Administrative Frameworks</w:t>
      </w:r>
    </w:p>
    <w:p>
      <w:pPr>
        <w:pStyle w:val="FirstParagraph"/>
      </w:pPr>
      <w:r>
        <w:t xml:space="preserve">While the recommendations above highlight best practices, it is necessary to critique the broader administrative framework. Critics argue that the increasing corporatization of school governance in New Zealand places undue financial pressure on administrators. Board members are often volunteers with limited expertise in finance or human resources, yet they bear legal responsibility for school compliance.</w:t>
      </w:r>
    </w:p>
    <w:p>
      <w:pPr>
        <w:pStyle w:val="BodyText"/>
      </w:pPr>
      <w:r>
        <w:t xml:space="preserve">In Wellington, where property costs and operational expenses are higher than the national average, this strain is magnified. Administrators often spend excessive time on fundraising and grant writing rather than instructional leadership. There is a need for greater professional support structures provided by the Ministry of Education to assist boards in financial management and strategic planning.</w:t>
      </w:r>
    </w:p>
    <w:bookmarkEnd w:id="27"/>
    <w:bookmarkStart w:id="28" w:name="conclusion"/>
    <w:p>
      <w:pPr>
        <w:pStyle w:val="Heading2"/>
      </w:pPr>
      <w:r>
        <w:t xml:space="preserve">Conclusion</w:t>
      </w:r>
    </w:p>
    <w:p>
      <w:pPr>
        <w:pStyle w:val="FirstParagraph"/>
      </w:pPr>
      <w:r>
        <w:t xml:space="preserve">The role of the Education Administrator in Wellington, New Zealand, is multifaceted and demanding. It requires a delicate balance of managerial precision, cultural sensitivity, and emotional intelligence. As the educational landscape continues to evolve amidst technological change and demographic shifts, administrators must remain adaptive. The unique context of Wellington—with its blend of urban density and deep bicultural foundations—serves as a microcosm for the broader challenges facing New Zealand education.</w:t>
      </w:r>
    </w:p>
    <w:p>
      <w:pPr>
        <w:pStyle w:val="BodyText"/>
      </w:pPr>
      <w:r>
        <w:t xml:space="preserve">Future success depends on moving beyond transactional leadership toward transformational models that prioritize equity and inclusion. By fostering strong community partnerships, supporting staff well-being, and upholding the principles of Te Tiriti o Waitangi, Education Administrators can ensure that schools in Wellington remain vibrant centers of learning and social cohesion. Further longitudinal research is needed to assess the long-term impact of distributed leadership models on student achievement in urban New Zealand settings.</w:t>
      </w:r>
    </w:p>
    <w:bookmarkEnd w:id="28"/>
    <w:bookmarkStart w:id="29" w:name="references"/>
    <w:p>
      <w:pPr>
        <w:pStyle w:val="Heading2"/>
      </w:pPr>
      <w:r>
        <w:t xml:space="preserve">References</w:t>
      </w:r>
    </w:p>
    <w:p>
      <w:pPr>
        <w:pStyle w:val="FirstParagraph"/>
      </w:pPr>
      <w:r>
        <w:t xml:space="preserve">1. Ministry of Education (MoE). (2019). The New Zealand Curriculum. Wellington: Learning Media.</w:t>
      </w:r>
    </w:p>
    <w:p>
      <w:pPr>
        <w:pStyle w:val="BodyText"/>
      </w:pPr>
      <w:r>
        <w:t xml:space="preserve">2. Ministry of Education (MoE). (2018). Pacific Education Plan 2018-2035: Enhancing the educational achievement and well-being of Pacific learners. Wellington: NZ Government.</w:t>
      </w:r>
    </w:p>
    <w:p>
      <w:pPr>
        <w:pStyle w:val="BodyText"/>
      </w:pPr>
      <w:r>
        <w:t xml:space="preserve">3. Sleeter, C. E., &amp; Grant, C. A. (2016). Making Choices for Multicultural Education: Five Approaches to Race, Class and Gender (4th ed.). Routledge.</w:t>
      </w:r>
    </w:p>
    <w:p>
      <w:pPr>
        <w:pStyle w:val="BodyText"/>
      </w:pPr>
      <w:r>
        <w:t xml:space="preserve">4. Ministry of Education NZTertiary Commission Report on Urban Education Challenges in Wellington Regions</w:t>
      </w:r>
    </w:p>
    <w:p>
      <w:pPr>
        <w:pStyle w:val="BodyText"/>
      </w:pPr>
      <w:r>
        <w:t xml:space="preserve">5. Waitangi Tribunal Reports on Te Tiriti o Waitangi Implementation in Educational Settings.</w:t>
      </w:r>
    </w:p>
    <w:p>
      <w:pPr>
        <w:pStyle w:val="BodyText"/>
      </w:pP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New Zealand Wellington: Navigating Complexity and Fostering Equity</dc:title>
  <dc:creator/>
  <dc:language>en</dc:language>
  <cp:keywords/>
  <dcterms:created xsi:type="dcterms:W3CDTF">2026-07-29T16:21:41Z</dcterms:created>
  <dcterms:modified xsi:type="dcterms:W3CDTF">2026-07-29T16:21:41Z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