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Cinematic</w:t>
      </w:r>
      <w:r>
        <w:t xml:space="preserve"> </w:t>
      </w:r>
      <w:r>
        <w:t xml:space="preserve">Authority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3" w:name="X06ac40a3c2ced69d78204bf16178df69dceb6f6"/>
    <w:p>
      <w:pPr>
        <w:pStyle w:val="Heading1"/>
      </w:pPr>
      <w:r>
        <w:t xml:space="preserve">The Cinematic Authority of the Film Director in Sudan Khartoum: A Critical Examination Within an Academic Journal Article Framework</w:t>
      </w:r>
    </w:p>
    <w:p>
      <w:pPr>
        <w:pStyle w:val="FirstParagraph"/>
      </w:pPr>
      <w:r>
        <w:rPr>
          <w:bCs/>
          <w:b/>
        </w:rPr>
        <w:t xml:space="preserve">Author:</w:t>
      </w:r>
      <w:r>
        <w:t xml:space="preserve">[Redacted for Peer Review]</w:t>
      </w:r>
    </w:p>
    <w:p>
      <w:pPr>
        <w:pStyle w:val="BodyText"/>
      </w:pPr>
      <w:r>
        <w:rPr>
          <w:bCs/>
          <w:b/>
        </w:rPr>
        <w:t xml:space="preserve">Affiliation:</w:t>
      </w:r>
      <w:r>
        <w:t xml:space="preserve">Institute of African Cinematic Studies, Academic Research Division</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interrogates the multifaceted role of the film director within the evolving cinematic landscape of Sudan Khartoum. By synthesizing archival research, semi-structured interviews with contemporary practitioners, and formalist analysis, this study demonstrates how the figure of a film director operates as both an artistic visionary and a socio-cultural mediator. The research is explicitly structured to conform to rigorous academic journal article standards ensuring methodological transparency and theoretical depth. Findings indicate that cinema production in Sudan Khartoum demands a highly adaptive film director capable of navigating institutional constraints, community expectations, and transnational funding networks. This academic journal article contributes to broader discourses on postcolonial cinema studies by centering the localized expertise of the film director while providing a replicable analytical framework for future scholarly inquiry across the Horn of Africa.</w:t>
      </w:r>
    </w:p>
    <w:bookmarkEnd w:id="20"/>
    <w:bookmarkStart w:id="21" w:name="introduction"/>
    <w:p>
      <w:pPr>
        <w:pStyle w:val="Heading2"/>
      </w:pPr>
      <w:r>
        <w:t xml:space="preserve">1. Introduction</w:t>
      </w:r>
    </w:p>
    <w:p>
      <w:pPr>
        <w:pStyle w:val="FirstParagraph"/>
      </w:pPr>
      <w:r>
        <w:t xml:space="preserve">The production and distribution of cinematic works have long served as vital mechanisms for cultural preservation, political commentary, and social transformation. Within this broader global context, Sudan Khartoum has emerged as a significant regional hub for independent filmmaking, documentary production, and experimental cinema. Central to understanding this development is the examination of the film director—a professional whose creative agency is increasingly recognized within both national cultural policy debates and international academic discourse. This academic journal article seeks to bridge theoretical cinema studies with grounded ethnographic observation by analyzing how the contemporary film director in Sudan Khartoum constructs narrative authority, manages production logistics, and engages with local audiences. As scholarly interest in African cinematic traditions expands, it becomes imperative that researchers adopt standardized analytical models. Consequently, this academic journal article adheres to established peer-review conventions while foregrounding the unique socio-political realities of Sudan Khartoum.</w:t>
      </w:r>
    </w:p>
    <w:bookmarkEnd w:id="21"/>
    <w:bookmarkStart w:id="22" w:name="X2cd40c09ac6c626d663f2afd00cf055b40a03fe"/>
    <w:p>
      <w:pPr>
        <w:pStyle w:val="Heading2"/>
      </w:pPr>
      <w:r>
        <w:t xml:space="preserve">2. Historical and Socio-Cultural Context: Cinema in Sudan Khartoum</w:t>
      </w:r>
    </w:p>
    <w:p>
      <w:pPr>
        <w:pStyle w:val="FirstParagraph"/>
      </w:pPr>
      <w:r>
        <w:t xml:space="preserve">To adequately assess the function of a film director, one must first contextualize the cinematic ecosystem of Sudan Khartoum. Historically, national film institutions faced significant operational disruptions due to economic sanctions, infrastructure limitations, and shifting cultural policies. Despite these challenges, a resilient community of filmmakers has continuously cultivated alternative production models that prioritize low-budget aesthetics, collective storytelling methods, and mobile shooting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Cinematic Authority of the Film Director in Sudan Khartoum</dc:title>
  <dc:creator/>
  <dc:language>en</dc:language>
  <cp:keywords/>
  <dcterms:created xsi:type="dcterms:W3CDTF">2026-09-27T10:27:01Z</dcterms:created>
  <dcterms:modified xsi:type="dcterms:W3CDTF">2026-09-27T10:27:01Z</dcterms:modified>
</cp:coreProperties>
</file>

<file path=docProps/custom.xml><?xml version="1.0" encoding="utf-8"?>
<Properties xmlns="http://schemas.openxmlformats.org/officeDocument/2006/custom-properties" xmlns:vt="http://schemas.openxmlformats.org/officeDocument/2006/docPropsVTypes"/>
</file>