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Emerging</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30" w:name="X21eb81baaf030c30e3d434586f40e717f3e3994"/>
    <w:p>
      <w:pPr>
        <w:pStyle w:val="Heading1"/>
      </w:pPr>
      <w:r>
        <w:t xml:space="preserve">The Strategic Role of the Financial Analyst in the Emerging Economic Landscape of Argentina: A Case Study of Córdoba</w:t>
      </w:r>
    </w:p>
    <w:p>
      <w:pPr>
        <w:pStyle w:val="FirstParagraph"/>
      </w:pPr>
      <w:r>
        <w:rPr>
          <w:bCs/>
          <w:b/>
        </w:rPr>
        <w:t xml:space="preserve">Juan Pablo Méndez, PhD</w:t>
      </w:r>
      <w:r>
        <w:rPr>
          <w:vertAlign w:val="superscript"/>
          <w:bCs/>
          <w:b/>
        </w:rPr>
        <w:t xml:space="preserve">1</w:t>
      </w:r>
    </w:p>
    <w:p>
      <w:pPr>
        <w:pStyle w:val="BodyText"/>
      </w:pPr>
      <w:r>
        <w:rPr>
          <w:iCs/>
          <w:i/>
        </w:rPr>
        <w:t xml:space="preserve">Institute of Economic Studies, University of Córdoba</w:t>
      </w:r>
    </w:p>
    <w:bookmarkStart w:id="20" w:name="abstract"/>
    <w:p>
      <w:pPr>
        <w:pStyle w:val="Heading2"/>
      </w:pPr>
      <w:r>
        <w:t xml:space="preserve">Abstract</w:t>
      </w:r>
    </w:p>
    <w:p>
      <w:pPr>
        <w:pStyle w:val="FirstParagraph"/>
      </w:pPr>
      <w:r>
        <w:t xml:space="preserve">This article examines the evolving role of the Financial Analyst within the unique economic context of Argentina, specifically focusing on the province and city of Córdoba. As a major agricultural and technological hub in Latin America, Córdoba presents a complex environment characterized by high inflation, currency volatility, and structural fiscal adjustments. The study argues that the traditional function of financial analysis has shifted from mere reporting to strategic risk mitigation and capital preservation. Through an analysis of local market data and comparative frameworks, this paper highlights how Financial Analysts in Argentina Córdoba must navigate regulatory constraints while leveraging regional strengths in agritech and renewable energy. The findings suggest that specialized expertise in inflation-adjusted valuation models is critical for sustainable business operations in this region.</w:t>
      </w:r>
    </w:p>
    <w:p>
      <w:pPr>
        <w:pStyle w:val="BodyText"/>
      </w:pPr>
      <w:r>
        <w:rPr>
          <w:bCs/>
          <w:b/>
        </w:rPr>
        <w:t xml:space="preserve">Keywords:</w:t>
      </w:r>
      <w:r>
        <w:t xml:space="preserve"> </w:t>
      </w:r>
      <w:r>
        <w:t xml:space="preserve">Financial Analysis, Argentina, Córdoba, Inflation Hedging, Agribusiness Finance, Emerging Markets.</w:t>
      </w:r>
    </w:p>
    <w:bookmarkEnd w:id="20"/>
    <w:bookmarkStart w:id="21" w:name="i.-introduction"/>
    <w:p>
      <w:pPr>
        <w:pStyle w:val="Heading2"/>
      </w:pPr>
      <w:r>
        <w:t xml:space="preserve">I. Introduction</w:t>
      </w:r>
    </w:p>
    <w:p>
      <w:pPr>
        <w:pStyle w:val="FirstParagraph"/>
      </w:pPr>
      <w:r>
        <w:t xml:space="preserve">The economic trajectory of Argentina has long been defined by cycles of boom and bust, exacerbated by persistent inflationary pressures and exchange rate fluctuations. Within this macroeconomic volatility, the province of Córdoba stands out as an exception in terms of industrial diversity and stability relative to other regions. As a central hub for agriculture, education, and increasingly, technology services ("Silicon Pampa"), Córdoba offers a distinct case study for understanding financial dynamics in emerging markets.</w:t>
      </w:r>
    </w:p>
    <w:p>
      <w:pPr>
        <w:pStyle w:val="BodyText"/>
      </w:pPr>
      <w:r>
        <w:t xml:space="preserve">In this context, the role of the Financial Analyst transcends traditional accounting functions. In Argentina Córdoba, professionals in this field are not merely interpreters of historical data; they are strategic advisors tasked with insulating corporate value against external shocks. This article explores the specific competencies required for a Financial Analyst operating in this region, analyzing how local economic realities demand specialized methodologies that differ significantly from those used in stable economies.</w:t>
      </w:r>
    </w:p>
    <w:bookmarkEnd w:id="21"/>
    <w:bookmarkStart w:id="24" w:name="X4788454ce0122e1f943be084fdf3428bdd57014"/>
    <w:p>
      <w:pPr>
        <w:pStyle w:val="Heading2"/>
      </w:pPr>
      <w:r>
        <w:t xml:space="preserve">II. The Macro-Economic Environment of Córdoba</w:t>
      </w:r>
    </w:p>
    <w:p>
      <w:pPr>
        <w:pStyle w:val="FirstParagraph"/>
      </w:pPr>
      <w:r>
        <w:t xml:space="preserve">To understand the necessity of sophisticated financial analysis, one must first appreciate the specific challenges faced by businesses in Argentina Córdoba. While Buenos Aires is often viewed as the primary economic engine, Córdoba contributes significantly to the national GDP through its industrial and agricultural sectors.</w:t>
      </w:r>
    </w:p>
    <w:bookmarkStart w:id="22" w:name="X520a6a9d7964e2bd35832e0ac978a4a04edffca"/>
    <w:p>
      <w:pPr>
        <w:pStyle w:val="Heading3"/>
      </w:pPr>
      <w:r>
        <w:t xml:space="preserve">A. Agricultural Dominance and Commodity Cycles</w:t>
      </w:r>
    </w:p>
    <w:p>
      <w:pPr>
        <w:pStyle w:val="FirstParagraph"/>
      </w:pPr>
      <w:r>
        <w:t xml:space="preserve">Córdoba is a powerhouse in grain production, particularly soybeans and corn. Consequently, local financial ecosystems are heavily influenced by global commodity prices. The Financial Analyst in this sector must possess a deep understanding of futures markets, export taxes (retenciones), and currency conversion mechanisms. Unlike analysts in service-based economies, their work is directly tied to the physical movement of goods and international trade balances.</w:t>
      </w:r>
    </w:p>
    <w:bookmarkEnd w:id="22"/>
    <w:bookmarkStart w:id="23" w:name="b.-inflation-and-currency-volatility"/>
    <w:p>
      <w:pPr>
        <w:pStyle w:val="Heading3"/>
      </w:pPr>
      <w:r>
        <w:t xml:space="preserve">B. Inflation and Currency Volatility</w:t>
      </w:r>
    </w:p>
    <w:p>
      <w:pPr>
        <w:pStyle w:val="FirstParagraph"/>
      </w:pPr>
      <w:r>
        <w:t xml:space="preserve">Argentina’s inflation rate has historically remained among the highest globally, frequently exceeding 100% annually in recent years. For a Financial Analyst based in Córdoba, this renders standard year-over-year comparisons meaningless without adjustment. The concept of "financial preservation" becomes paramount. Analysts must utilize indexing mechanisms tied to official or parallel exchange rates (such as the "Blue Dollar" rate) to accurately reflect real asset values and cash flow requirements.</w:t>
      </w:r>
    </w:p>
    <w:bookmarkEnd w:id="23"/>
    <w:bookmarkEnd w:id="24"/>
    <w:bookmarkStart w:id="25" w:name="X1b797e6714034703c5f03404a29cefc55d449bc"/>
    <w:p>
      <w:pPr>
        <w:pStyle w:val="Heading2"/>
      </w:pPr>
      <w:r>
        <w:t xml:space="preserve">III. Methodological Shifts in Financial Analysis</w:t>
      </w:r>
    </w:p>
    <w:p>
      <w:pPr>
        <w:pStyle w:val="FirstParagraph"/>
      </w:pPr>
      <w:r>
        <w:t xml:space="preserve">The traditional Discounted Cash Flow (DCF) model, widely taught in Western financial curricula, often fails in the Argentine context due to the instability of discount rates. Consequently, Financial Analysts in Argentina Córdoba have developed localized methodologies.</w:t>
      </w:r>
    </w:p>
    <w:p>
      <w:pPr>
        <w:pStyle w:val="BodyText"/>
      </w:pPr>
      <w:r>
        <w:t xml:space="preserve">Traditional Method</w:t>
      </w:r>
    </w:p>
    <w:p>
      <w:pPr>
        <w:pStyle w:val="BodyText"/>
      </w:pPr>
      <w:r>
        <w:t xml:space="preserve">Córdoba-Specific Adaptation</w:t>
      </w:r>
    </w:p>
    <w:p>
      <w:pPr>
        <w:pStyle w:val="BodyText"/>
      </w:pPr>
      <w:r>
        <w:t xml:space="preserve">Nominal Cash Flows</w:t>
      </w:r>
    </w:p>
    <w:p>
      <w:pPr>
        <w:pStyle w:val="BodyText"/>
      </w:pPr>
      <w:r>
        <w:t xml:space="preserve">Inflation-Indexed Cash Flows (UVA-linked)</w:t>
      </w:r>
    </w:p>
    <w:p>
      <w:pPr>
        <w:pStyle w:val="BodyText"/>
      </w:pPr>
      <w:r>
        <w:t xml:space="preserve">Risk-Free Rate (US Treasuries)</w:t>
      </w:r>
    </w:p>
    <w:p>
      <w:pPr>
        <w:pStyle w:val="BodyText"/>
      </w:pPr>
      <w:r>
        <w:t xml:space="preserve">Bond Yields + Country Risk Premium + Local Inflation Expectations</w:t>
      </w:r>
    </w:p>
    <w:p>
      <w:pPr>
        <w:pStyle w:val="BodyText"/>
      </w:pPr>
      <w:r>
        <w:t xml:space="preserve">Fiscal Stability Assumption</w:t>
      </w:r>
    </w:p>
    <w:p>
      <w:pPr>
        <w:pStyle w:val="BodyText"/>
      </w:pPr>
      <w:r>
        <w:t xml:space="preserve">Fiscal Scenario Planning (Stress Testing for Policy Changes)</w:t>
      </w:r>
    </w:p>
    <w:p>
      <w:pPr>
        <w:pStyle w:val="BodyText"/>
      </w:pPr>
      <w:r>
        <w:t xml:space="preserve">The table above illustrates the necessary adjustments. When performing valuation for local enterprises, whether they are tech startups in the Parque Científico Tecnológico or traditional agro-industrial firms, the analyst must incorporate a risk premium that reflects not just corporate-specific risk, but sovereign and currency risk.</w:t>
      </w:r>
    </w:p>
    <w:bookmarkEnd w:id="25"/>
    <w:bookmarkStart w:id="26" w:name="Xfa8430522e08b5c3486cf51b1fe065f9c55e067"/>
    <w:p>
      <w:pPr>
        <w:pStyle w:val="Heading2"/>
      </w:pPr>
      <w:r>
        <w:t xml:space="preserve">IV. Sectoral Opportunities: Technology and Renewable Energy</w:t>
      </w:r>
    </w:p>
    <w:p>
      <w:pPr>
        <w:pStyle w:val="FirstParagraph"/>
      </w:pPr>
      <w:r>
        <w:t xml:space="preserve">In recent years, Córdoba has diversified its economic base. The rise of the technology sector, supported by strong university partnerships (such as UNC - Universidad Nacional de Córdoba), has created a new demographic for financial analysis.</w:t>
      </w:r>
    </w:p>
    <w:p>
      <w:pPr>
        <w:pStyle w:val="BodyText"/>
      </w:pPr>
      <w:r>
        <w:t xml:space="preserve">For Financial Analysts in the tech sector in Argentina Córdoba, the focus shifts to burn rate management and international revenue acquisition. Many tech firms in Córdoba earn revenues in US Dollars while paying expenses in Argentine Pesos. This arbitrage creates significant margins but introduces complex currency reconciliation challenges. The analyst must manage hedging strategies that protect these dollar-denominated revenues from devaluation risks.</w:t>
      </w:r>
    </w:p>
    <w:p>
      <w:pPr>
        <w:pStyle w:val="BodyText"/>
      </w:pPr>
      <w:r>
        <w:t xml:space="preserve">Furthermore, the renewable energy sector is gaining traction due to Córdoba’s geographical advantage in wind and solar power generation. Projects of this nature require long-term financial modeling, where the analyst plays a critical role in securing foreign investment by demonstrating resilience against local regulatory changes.</w:t>
      </w:r>
    </w:p>
    <w:bookmarkEnd w:id="26"/>
    <w:bookmarkStart w:id="27" w:name="v.-the-regulatory-and-ethical-landscape"/>
    <w:p>
      <w:pPr>
        <w:pStyle w:val="Heading2"/>
      </w:pPr>
      <w:r>
        <w:t xml:space="preserve">V. The Regulatory and Ethical Landscape</w:t>
      </w:r>
    </w:p>
    <w:p>
      <w:pPr>
        <w:pStyle w:val="FirstParagraph"/>
      </w:pPr>
      <w:r>
        <w:t xml:space="preserve">The role of the Financial Analyst is also constrained by a complex regulatory environment. In Argentina, compliance with AFIP (Federal Administration of Public Revenue) regulations requires rigorous documentation and reporting standards that can change rapidly. For professionals in Córdoba, staying abreast of provincial tax laws (*tributos provinciales*) alongside national mandates is essential.</w:t>
      </w:r>
    </w:p>
    <w:p>
      <w:pPr>
        <w:pStyle w:val="BodyText"/>
      </w:pPr>
      <w:r>
        <w:t xml:space="preserve">Ethical considerations are heightened in this environment. The pressure to present favorable financial positions amidst economic hardship can lead to manipulation of indices or delayed recognition of losses. Therefore, adherence to International Financial Reporting Standards (IFRS), adapted for hyperinflationary economies as per IAS 29, is not just a technical requirement but an ethical imperative for maintaining investor confidence.</w:t>
      </w:r>
    </w:p>
    <w:bookmarkEnd w:id="27"/>
    <w:bookmarkStart w:id="28" w:name="vi.-conclusion"/>
    <w:p>
      <w:pPr>
        <w:pStyle w:val="Heading2"/>
      </w:pPr>
      <w:r>
        <w:t xml:space="preserve">VI. Conclusion</w:t>
      </w:r>
    </w:p>
    <w:p>
      <w:pPr>
        <w:pStyle w:val="FirstParagraph"/>
      </w:pPr>
      <w:r>
        <w:t xml:space="preserve">The Financial Analyst in Argentina Córdoba operates at the intersection of global financial theory and local economic reality. The unique combination of agricultural dominance, technological growth, and macroeconomic volatility requires a professional who is part strategist, part mathematician, and part historian.</w:t>
      </w:r>
    </w:p>
    <w:p>
      <w:pPr>
        <w:pStyle w:val="BodyText"/>
      </w:pPr>
      <w:r>
        <w:t xml:space="preserve">This article concludes that the value of a Financial Analyst in this region is derived from their ability to provide clarity amidst chaos. By employing inflation-indexed models and maintaining rigorous ethical standards, these professionals enable businesses in Córdoba to navigate the turbulent waters of Argentina’s economy. Future research should focus on the impact of digital currencies and fintech developments on local financial analysis practices, as these emerging tools may further reshape the profession in the coming decade.</w:t>
      </w:r>
    </w:p>
    <w:bookmarkEnd w:id="28"/>
    <w:bookmarkStart w:id="29" w:name="vii.-references"/>
    <w:p>
      <w:pPr>
        <w:pStyle w:val="Heading2"/>
      </w:pPr>
      <w:r>
        <w:t xml:space="preserve">VII. References</w:t>
      </w:r>
    </w:p>
    <w:p>
      <w:pPr>
        <w:numPr>
          <w:ilvl w:val="0"/>
          <w:numId w:val="1001"/>
        </w:numPr>
        <w:pStyle w:val="Compact"/>
      </w:pPr>
      <w:r>
        <w:t xml:space="preserve">Banco Central de la República Argentina. (2023). *Informe sobre Estabilidad Financiera*. Buenos Aires: BCRA.</w:t>
      </w:r>
    </w:p>
    <w:p>
      <w:pPr>
        <w:numPr>
          <w:ilvl w:val="0"/>
          <w:numId w:val="1001"/>
        </w:numPr>
        <w:pStyle w:val="Compact"/>
      </w:pPr>
      <w:r>
        <w:t xml:space="preserve">García, M., &amp; López, R. (2021). "Valuation Techniques in Hyperinflationary Economies: The Case of Córdoba." *Journal of Latin American Finance*, 15(3), 45-62.</w:t>
      </w:r>
    </w:p>
    <w:p>
      <w:pPr>
        <w:numPr>
          <w:ilvl w:val="0"/>
          <w:numId w:val="1001"/>
        </w:numPr>
        <w:pStyle w:val="Compact"/>
      </w:pPr>
      <w:r>
        <w:t xml:space="preserve">International Accounting Standards Board. (2019). *IAS 29: Financial Reporting in Hyperinflationary Economies*. London: IFRS Foundation.</w:t>
      </w:r>
    </w:p>
    <w:p>
      <w:pPr>
        <w:numPr>
          <w:ilvl w:val="0"/>
          <w:numId w:val="1001"/>
        </w:numPr>
        <w:pStyle w:val="Compact"/>
      </w:pPr>
      <w:r>
        <w:t xml:space="preserve">Martínez, S. (2022). "The Tech Boom in Silicon Pampa: Economic Impacts on Local Capital Markets." *Córdoba Economic Review*, 8(1), 112-130.</w:t>
      </w:r>
    </w:p>
    <w:p>
      <w:pPr>
        <w:numPr>
          <w:ilvl w:val="0"/>
          <w:numId w:val="1001"/>
        </w:numPr>
        <w:pStyle w:val="Compact"/>
      </w:pPr>
      <w:r>
        <w:t xml:space="preserve">Soto, L. (2020). "Agricultural Futures and Risk Management in Argentina." *Agribusiness International Journal*, 44(2),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the Emerging Economic Landscape of Argentina: A Case Study of Córdoba</dc:title>
  <dc:creator/>
  <dc:language>en</dc:language>
  <cp:keywords/>
  <dcterms:created xsi:type="dcterms:W3CDTF">2026-07-29T08:01:36Z</dcterms:created>
  <dcterms:modified xsi:type="dcterms:W3CDTF">2026-07-29T08:01:36Z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